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5AB0FF" w14:textId="77777777" w:rsidR="00262820" w:rsidRPr="0030389C" w:rsidRDefault="00262820">
      <w:pPr>
        <w:spacing w:after="0"/>
        <w:ind w:right="-568"/>
        <w:jc w:val="center"/>
        <w:rPr>
          <w:rFonts w:ascii="Arial" w:eastAsia="Arial" w:hAnsi="Arial" w:cs="Arial"/>
          <w:color w:val="4F81BD" w:themeColor="accent1"/>
          <w:sz w:val="16"/>
          <w:szCs w:val="16"/>
        </w:rPr>
      </w:pPr>
    </w:p>
    <w:p w14:paraId="28450D11" w14:textId="77777777" w:rsidR="00262820" w:rsidRPr="0030389C" w:rsidRDefault="00EE2D7D">
      <w:pPr>
        <w:spacing w:after="0"/>
        <w:ind w:right="-568"/>
        <w:jc w:val="center"/>
        <w:rPr>
          <w:rFonts w:ascii="Arial" w:eastAsia="Arial" w:hAnsi="Arial" w:cs="Arial"/>
          <w:color w:val="4F81BD" w:themeColor="accent1"/>
          <w:sz w:val="20"/>
          <w:szCs w:val="20"/>
        </w:rPr>
      </w:pPr>
      <w:r w:rsidRPr="0030389C">
        <w:rPr>
          <w:rFonts w:ascii="Arial" w:eastAsia="Arial" w:hAnsi="Arial" w:cs="Arial"/>
          <w:b/>
          <w:color w:val="4F81BD" w:themeColor="accent1"/>
          <w:sz w:val="20"/>
          <w:szCs w:val="20"/>
        </w:rPr>
        <w:t>Règlement du 1</w:t>
      </w:r>
      <w:r w:rsidRPr="0030389C">
        <w:rPr>
          <w:rFonts w:ascii="Arial" w:eastAsia="Arial" w:hAnsi="Arial" w:cs="Arial"/>
          <w:b/>
          <w:color w:val="4F81BD" w:themeColor="accent1"/>
          <w:sz w:val="20"/>
          <w:szCs w:val="20"/>
          <w:vertAlign w:val="superscript"/>
        </w:rPr>
        <w:t>er</w:t>
      </w:r>
      <w:r w:rsidR="00981AD2" w:rsidRPr="0030389C">
        <w:rPr>
          <w:rFonts w:ascii="Arial" w:eastAsia="Arial" w:hAnsi="Arial" w:cs="Arial"/>
          <w:b/>
          <w:color w:val="4F81BD" w:themeColor="accent1"/>
          <w:sz w:val="20"/>
          <w:szCs w:val="20"/>
          <w:vertAlign w:val="superscript"/>
        </w:rPr>
        <w:t> </w:t>
      </w:r>
      <w:r w:rsidR="00981AD2" w:rsidRPr="0030389C">
        <w:rPr>
          <w:rFonts w:ascii="Arial" w:eastAsia="Arial" w:hAnsi="Arial" w:cs="Arial"/>
          <w:b/>
          <w:color w:val="4F81BD" w:themeColor="accent1"/>
          <w:sz w:val="20"/>
          <w:szCs w:val="20"/>
        </w:rPr>
        <w:t xml:space="preserve">tournoi </w:t>
      </w:r>
      <w:r w:rsidRPr="0030389C">
        <w:rPr>
          <w:rFonts w:ascii="Arial" w:eastAsia="Arial" w:hAnsi="Arial" w:cs="Arial"/>
          <w:b/>
          <w:color w:val="4F81BD" w:themeColor="accent1"/>
          <w:sz w:val="20"/>
          <w:szCs w:val="20"/>
        </w:rPr>
        <w:t>par équipes</w:t>
      </w:r>
      <w:r w:rsidR="00981AD2" w:rsidRPr="0030389C">
        <w:rPr>
          <w:rFonts w:ascii="Arial" w:eastAsia="Arial" w:hAnsi="Arial" w:cs="Arial"/>
          <w:b/>
          <w:color w:val="4F81BD" w:themeColor="accent1"/>
          <w:sz w:val="20"/>
          <w:szCs w:val="20"/>
        </w:rPr>
        <w:t xml:space="preserve"> du TUC badminton</w:t>
      </w:r>
    </w:p>
    <w:p w14:paraId="7C130456" w14:textId="63CEB02E" w:rsidR="00262820" w:rsidRDefault="00981AD2">
      <w:pPr>
        <w:spacing w:after="0"/>
        <w:ind w:right="-568"/>
        <w:jc w:val="center"/>
        <w:rPr>
          <w:rFonts w:ascii="Arial" w:eastAsia="Arial" w:hAnsi="Arial" w:cs="Arial"/>
          <w:b/>
          <w:color w:val="4F81BD" w:themeColor="accent1"/>
          <w:sz w:val="20"/>
          <w:szCs w:val="20"/>
        </w:rPr>
      </w:pPr>
      <w:r w:rsidRPr="0030389C">
        <w:rPr>
          <w:rFonts w:ascii="Arial" w:eastAsia="Arial" w:hAnsi="Arial" w:cs="Arial"/>
          <w:b/>
          <w:color w:val="4F81BD" w:themeColor="accent1"/>
          <w:sz w:val="20"/>
          <w:szCs w:val="20"/>
          <w:highlight w:val="yellow"/>
        </w:rPr>
        <w:t>Le </w:t>
      </w:r>
      <w:r w:rsidR="009A596C" w:rsidRPr="0030389C">
        <w:rPr>
          <w:rFonts w:ascii="Arial" w:eastAsia="Arial" w:hAnsi="Arial" w:cs="Arial"/>
          <w:b/>
          <w:color w:val="4F81BD" w:themeColor="accent1"/>
          <w:sz w:val="20"/>
          <w:szCs w:val="20"/>
          <w:highlight w:val="yellow"/>
        </w:rPr>
        <w:t>1</w:t>
      </w:r>
      <w:r w:rsidR="00EE2D7D" w:rsidRPr="0030389C">
        <w:rPr>
          <w:rFonts w:ascii="Arial" w:eastAsia="Arial" w:hAnsi="Arial" w:cs="Arial"/>
          <w:b/>
          <w:color w:val="4F81BD" w:themeColor="accent1"/>
          <w:sz w:val="20"/>
          <w:szCs w:val="20"/>
          <w:highlight w:val="yellow"/>
        </w:rPr>
        <w:t>4</w:t>
      </w:r>
      <w:r w:rsidR="009A596C" w:rsidRPr="0030389C">
        <w:rPr>
          <w:rFonts w:ascii="Arial" w:eastAsia="Arial" w:hAnsi="Arial" w:cs="Arial"/>
          <w:b/>
          <w:color w:val="4F81BD" w:themeColor="accent1"/>
          <w:sz w:val="20"/>
          <w:szCs w:val="20"/>
          <w:highlight w:val="yellow"/>
        </w:rPr>
        <w:t xml:space="preserve"> et 1</w:t>
      </w:r>
      <w:r w:rsidR="00EE2D7D" w:rsidRPr="0030389C">
        <w:rPr>
          <w:rFonts w:ascii="Arial" w:eastAsia="Arial" w:hAnsi="Arial" w:cs="Arial"/>
          <w:b/>
          <w:color w:val="4F81BD" w:themeColor="accent1"/>
          <w:sz w:val="20"/>
          <w:szCs w:val="20"/>
          <w:highlight w:val="yellow"/>
        </w:rPr>
        <w:t>5</w:t>
      </w:r>
      <w:r w:rsidR="009A596C" w:rsidRPr="0030389C">
        <w:rPr>
          <w:rFonts w:ascii="Arial" w:eastAsia="Arial" w:hAnsi="Arial" w:cs="Arial"/>
          <w:b/>
          <w:color w:val="4F81BD" w:themeColor="accent1"/>
          <w:sz w:val="20"/>
          <w:szCs w:val="20"/>
          <w:highlight w:val="yellow"/>
        </w:rPr>
        <w:t xml:space="preserve"> </w:t>
      </w:r>
      <w:r w:rsidR="00EE2D7D" w:rsidRPr="0030389C">
        <w:rPr>
          <w:rFonts w:ascii="Arial" w:eastAsia="Arial" w:hAnsi="Arial" w:cs="Arial"/>
          <w:b/>
          <w:color w:val="4F81BD" w:themeColor="accent1"/>
          <w:sz w:val="20"/>
          <w:szCs w:val="20"/>
          <w:highlight w:val="yellow"/>
        </w:rPr>
        <w:t>Avril</w:t>
      </w:r>
      <w:r w:rsidR="009A596C" w:rsidRPr="0030389C">
        <w:rPr>
          <w:rFonts w:ascii="Arial" w:eastAsia="Arial" w:hAnsi="Arial" w:cs="Arial"/>
          <w:b/>
          <w:color w:val="4F81BD" w:themeColor="accent1"/>
          <w:sz w:val="20"/>
          <w:szCs w:val="20"/>
          <w:highlight w:val="yellow"/>
        </w:rPr>
        <w:t xml:space="preserve"> 2018</w:t>
      </w:r>
    </w:p>
    <w:p w14:paraId="0B49C99A" w14:textId="7142B02B" w:rsidR="00DB4868" w:rsidRPr="0030389C" w:rsidRDefault="00DB4868">
      <w:pPr>
        <w:spacing w:after="0"/>
        <w:ind w:right="-568"/>
        <w:jc w:val="center"/>
        <w:rPr>
          <w:rFonts w:ascii="Arial" w:eastAsia="Arial" w:hAnsi="Arial" w:cs="Arial"/>
          <w:color w:val="4F81BD" w:themeColor="accent1"/>
          <w:sz w:val="20"/>
          <w:szCs w:val="20"/>
        </w:rPr>
      </w:pPr>
      <w:r>
        <w:rPr>
          <w:rFonts w:ascii="Arial" w:eastAsia="Arial" w:hAnsi="Arial" w:cs="Arial"/>
          <w:b/>
          <w:color w:val="4F81BD" w:themeColor="accent1"/>
          <w:sz w:val="20"/>
          <w:szCs w:val="20"/>
        </w:rPr>
        <w:t>En cours de validation</w:t>
      </w:r>
    </w:p>
    <w:p w14:paraId="009A5C2B" w14:textId="77777777" w:rsidR="00262820" w:rsidRPr="0030389C" w:rsidRDefault="00262820">
      <w:pPr>
        <w:spacing w:after="0"/>
        <w:ind w:right="-568"/>
        <w:jc w:val="both"/>
        <w:rPr>
          <w:rFonts w:ascii="Arial" w:eastAsia="Arial" w:hAnsi="Arial" w:cs="Arial"/>
          <w:color w:val="4F81BD" w:themeColor="accent1"/>
          <w:sz w:val="16"/>
          <w:szCs w:val="16"/>
        </w:rPr>
      </w:pPr>
    </w:p>
    <w:p w14:paraId="3CCE9A17" w14:textId="77777777" w:rsidR="00262820" w:rsidRPr="0030389C" w:rsidRDefault="00262820">
      <w:pPr>
        <w:spacing w:after="0"/>
        <w:ind w:right="-568"/>
        <w:jc w:val="both"/>
        <w:rPr>
          <w:rFonts w:ascii="Arial" w:eastAsia="Arial" w:hAnsi="Arial" w:cs="Arial"/>
          <w:color w:val="4F81BD" w:themeColor="accent1"/>
          <w:sz w:val="16"/>
          <w:szCs w:val="16"/>
        </w:rPr>
      </w:pPr>
    </w:p>
    <w:p w14:paraId="5CFA2E3C" w14:textId="77777777" w:rsidR="00EE2D7D" w:rsidRPr="0030389C" w:rsidRDefault="00EE2D7D" w:rsidP="00EE2D7D">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Acceptation :</w:t>
      </w:r>
    </w:p>
    <w:p w14:paraId="04CC9CDA" w14:textId="77777777" w:rsidR="00EE2D7D" w:rsidRPr="0030389C" w:rsidRDefault="00EE2D7D" w:rsidP="00EE2D7D">
      <w:pPr>
        <w:pStyle w:val="ListParagraph"/>
        <w:numPr>
          <w:ilvl w:val="1"/>
          <w:numId w:val="2"/>
        </w:numPr>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Toute participation à ce tournoi implique l’adoption de tous les articles du présent règlement.</w:t>
      </w:r>
    </w:p>
    <w:p w14:paraId="38A9FDA2" w14:textId="77777777" w:rsidR="00EE2D7D" w:rsidRPr="0030389C" w:rsidRDefault="00EE2D7D" w:rsidP="009A596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Organisation et Autorisation :</w:t>
      </w:r>
    </w:p>
    <w:p w14:paraId="6C7410A8" w14:textId="77777777" w:rsidR="00EE2D7D" w:rsidRPr="0030389C" w:rsidRDefault="00EE2D7D" w:rsidP="00EE2D7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Ce tournoi est organisé par le Toulouse Université Club Badminton.</w:t>
      </w:r>
    </w:p>
    <w:p w14:paraId="3BAFF0F2" w14:textId="28630EFD" w:rsidR="00262820" w:rsidRPr="0030389C" w:rsidRDefault="00981AD2" w:rsidP="00EE2D7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Ce tournoi est autorisé par la Fédération française de badminton sous le numéro </w:t>
      </w:r>
      <w:r w:rsidR="00DB4868">
        <w:rPr>
          <w:rFonts w:ascii="Arial" w:eastAsia="Arial" w:hAnsi="Arial" w:cs="Arial"/>
          <w:b/>
          <w:color w:val="4F81BD" w:themeColor="accent1"/>
          <w:sz w:val="16"/>
          <w:szCs w:val="16"/>
        </w:rPr>
        <w:t>XXXXXXX.</w:t>
      </w:r>
    </w:p>
    <w:p w14:paraId="67BB4DC0" w14:textId="1CB5959B" w:rsidR="00EE2D7D" w:rsidRPr="0030389C" w:rsidRDefault="00EE2D7D" w:rsidP="00EE2D7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Le juge-arbitre désigné par le TUC badminton, en accord avec la Fédération française de badminton, est </w:t>
      </w:r>
      <w:r w:rsidR="00DB4868">
        <w:rPr>
          <w:rFonts w:ascii="Arial" w:eastAsia="Arial" w:hAnsi="Arial" w:cs="Arial"/>
          <w:b/>
          <w:color w:val="4F81BD" w:themeColor="accent1"/>
          <w:sz w:val="16"/>
          <w:szCs w:val="16"/>
        </w:rPr>
        <w:t>XXXXXX.</w:t>
      </w:r>
      <w:r w:rsidRPr="0030389C">
        <w:rPr>
          <w:rFonts w:ascii="Arial" w:eastAsia="Arial" w:hAnsi="Arial" w:cs="Arial"/>
          <w:color w:val="4F81BD" w:themeColor="accent1"/>
          <w:sz w:val="16"/>
          <w:szCs w:val="16"/>
        </w:rPr>
        <w:t xml:space="preserve"> Les décisions du juge-arbitre sont sans appel.</w:t>
      </w:r>
    </w:p>
    <w:p w14:paraId="17A2B6CA" w14:textId="77777777" w:rsidR="00EE2D7D" w:rsidRPr="0030389C" w:rsidRDefault="00EE2D7D">
      <w:pPr>
        <w:numPr>
          <w:ilvl w:val="0"/>
          <w:numId w:val="2"/>
        </w:numPr>
        <w:spacing w:after="0" w:line="360" w:lineRule="auto"/>
        <w:ind w:right="-568"/>
        <w:jc w:val="both"/>
        <w:rPr>
          <w:rFonts w:ascii="Arial" w:eastAsia="Arial" w:hAnsi="Arial" w:cs="Arial"/>
          <w:b/>
          <w:color w:val="4F81BD" w:themeColor="accent1"/>
          <w:sz w:val="16"/>
          <w:szCs w:val="16"/>
        </w:rPr>
      </w:pPr>
      <w:proofErr w:type="spellStart"/>
      <w:r w:rsidRPr="0030389C">
        <w:rPr>
          <w:rFonts w:ascii="Arial" w:eastAsia="Arial" w:hAnsi="Arial" w:cs="Arial"/>
          <w:b/>
          <w:color w:val="4F81BD" w:themeColor="accent1"/>
          <w:sz w:val="16"/>
          <w:szCs w:val="16"/>
        </w:rPr>
        <w:t>Régles</w:t>
      </w:r>
      <w:proofErr w:type="spellEnd"/>
      <w:r w:rsidRPr="0030389C">
        <w:rPr>
          <w:rFonts w:ascii="Arial" w:eastAsia="Arial" w:hAnsi="Arial" w:cs="Arial"/>
          <w:b/>
          <w:color w:val="4F81BD" w:themeColor="accent1"/>
          <w:sz w:val="16"/>
          <w:szCs w:val="16"/>
        </w:rPr>
        <w:t xml:space="preserve"> </w:t>
      </w:r>
      <w:proofErr w:type="spellStart"/>
      <w:r w:rsidRPr="0030389C">
        <w:rPr>
          <w:rFonts w:ascii="Arial" w:eastAsia="Arial" w:hAnsi="Arial" w:cs="Arial"/>
          <w:b/>
          <w:color w:val="4F81BD" w:themeColor="accent1"/>
          <w:sz w:val="16"/>
          <w:szCs w:val="16"/>
        </w:rPr>
        <w:t>FFBad</w:t>
      </w:r>
      <w:proofErr w:type="spellEnd"/>
      <w:r w:rsidRPr="0030389C">
        <w:rPr>
          <w:rFonts w:ascii="Arial" w:eastAsia="Arial" w:hAnsi="Arial" w:cs="Arial"/>
          <w:b/>
          <w:color w:val="4F81BD" w:themeColor="accent1"/>
          <w:sz w:val="16"/>
          <w:szCs w:val="16"/>
        </w:rPr>
        <w:t> :</w:t>
      </w:r>
    </w:p>
    <w:p w14:paraId="584B1668" w14:textId="77777777" w:rsidR="00262820" w:rsidRPr="0030389C" w:rsidRDefault="00981AD2" w:rsidP="00EE2D7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Tout(e) participant(e) doit être en règle avec la Fédération et doit être en mesure de présenter sa licence le jour de la compétition.</w:t>
      </w:r>
    </w:p>
    <w:p w14:paraId="53A7885E" w14:textId="77777777" w:rsidR="00262820" w:rsidRPr="0030389C" w:rsidRDefault="00981AD2" w:rsidP="00EE2D7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D’une manière générale, les règles et le règlement régissant ce tournoi sont ceux de la Fédération française de badminton.</w:t>
      </w:r>
    </w:p>
    <w:p w14:paraId="5D277043" w14:textId="77777777" w:rsidR="00E34DFC" w:rsidRPr="0030389C" w:rsidRDefault="00E34DF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 xml:space="preserve">Lieu de la compétition : </w:t>
      </w:r>
    </w:p>
    <w:p w14:paraId="4D0AACAE" w14:textId="77777777" w:rsidR="00E34DFC" w:rsidRPr="0030389C" w:rsidRDefault="00E34DFC" w:rsidP="00E34DF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La compétition aura lieu au complexe sportif Daniel Faucher, 11 Allée du Professeur Camille Soula, 31400 Toulouse.</w:t>
      </w:r>
    </w:p>
    <w:p w14:paraId="2D8F7018" w14:textId="77777777" w:rsidR="00262820" w:rsidRPr="0030389C" w:rsidRDefault="00981AD2" w:rsidP="00E34DF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TUC badminton décline toute responsabilité en cas de perte, de vol, d’incident ou d’accident dans l’enceinte et aux abords du complexe sportif Daniel Faucher, à Toulouse.</w:t>
      </w:r>
    </w:p>
    <w:p w14:paraId="72CC1D3C" w14:textId="77777777" w:rsidR="00EE2D7D" w:rsidRPr="0030389C" w:rsidRDefault="00EE2D7D" w:rsidP="009A596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Format de la compétition :</w:t>
      </w:r>
    </w:p>
    <w:p w14:paraId="1B8A82CE" w14:textId="227E5BA0" w:rsidR="00CC2B59" w:rsidRPr="0030389C" w:rsidRDefault="00EE2D7D" w:rsidP="00CC2B59">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La compétition sera un tournoi par équipes</w:t>
      </w:r>
      <w:r w:rsidR="00CC2B59" w:rsidRPr="0030389C">
        <w:rPr>
          <w:rFonts w:ascii="Arial" w:eastAsia="Arial" w:hAnsi="Arial" w:cs="Arial"/>
          <w:color w:val="4F81BD" w:themeColor="accent1"/>
          <w:sz w:val="16"/>
          <w:szCs w:val="16"/>
        </w:rPr>
        <w:t xml:space="preserve">. </w:t>
      </w:r>
    </w:p>
    <w:p w14:paraId="2BC8E3FE" w14:textId="668E5679" w:rsidR="00313B30" w:rsidRPr="0030389C" w:rsidRDefault="00313B30" w:rsidP="00CC2B59">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Les équipes seront réparties dans 4 séries de 6 équipes</w:t>
      </w:r>
      <w:r w:rsidR="00DB4868">
        <w:rPr>
          <w:rFonts w:ascii="Arial" w:eastAsia="Arial" w:hAnsi="Arial" w:cs="Arial"/>
          <w:color w:val="4F81BD" w:themeColor="accent1"/>
          <w:sz w:val="16"/>
          <w:szCs w:val="16"/>
        </w:rPr>
        <w:t>. Chaque série sera composé d’une poule unique de 6 équipes.</w:t>
      </w:r>
    </w:p>
    <w:p w14:paraId="54DF41DE" w14:textId="77777777" w:rsidR="00CC2B59" w:rsidRPr="0030389C" w:rsidRDefault="00CC2B59" w:rsidP="00CC2B59">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Les rencontres se dérouleront sur 4 matchs, selon le schéma suivant :</w:t>
      </w:r>
    </w:p>
    <w:p w14:paraId="13EEBD24" w14:textId="77777777" w:rsidR="00CC2B59" w:rsidRPr="0030389C" w:rsidRDefault="00CC2B59" w:rsidP="00CC2B59">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1 Double Homme</w:t>
      </w:r>
    </w:p>
    <w:p w14:paraId="48DAB93D" w14:textId="77777777" w:rsidR="00CC2B59" w:rsidRPr="0030389C" w:rsidRDefault="00CC2B59" w:rsidP="00CC2B59">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1 Double Dame</w:t>
      </w:r>
    </w:p>
    <w:p w14:paraId="0A01249E" w14:textId="77777777" w:rsidR="00CC2B59" w:rsidRPr="0030389C" w:rsidRDefault="00CC2B59" w:rsidP="00CC2B59">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2 Double Mixte</w:t>
      </w:r>
    </w:p>
    <w:p w14:paraId="27B54FD1" w14:textId="6525ECE4" w:rsidR="007C0B01" w:rsidRPr="0030389C" w:rsidRDefault="00341B92" w:rsidP="007C0B01">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cas d’un faible nombre d’inscrit</w:t>
      </w:r>
      <w:r w:rsidR="007C0B01" w:rsidRPr="0030389C">
        <w:rPr>
          <w:rFonts w:ascii="Arial" w:eastAsia="Arial" w:hAnsi="Arial" w:cs="Arial"/>
          <w:color w:val="4F81BD" w:themeColor="accent1"/>
          <w:sz w:val="16"/>
          <w:szCs w:val="16"/>
        </w:rPr>
        <w:t>s</w:t>
      </w:r>
      <w:r w:rsidRPr="0030389C">
        <w:rPr>
          <w:rFonts w:ascii="Arial" w:eastAsia="Arial" w:hAnsi="Arial" w:cs="Arial"/>
          <w:color w:val="4F81BD" w:themeColor="accent1"/>
          <w:sz w:val="16"/>
          <w:szCs w:val="16"/>
        </w:rPr>
        <w:t xml:space="preserve">, ou afin de garantir l’équilibre </w:t>
      </w:r>
      <w:r w:rsidR="007C0B01" w:rsidRPr="0030389C">
        <w:rPr>
          <w:rFonts w:ascii="Arial" w:eastAsia="Arial" w:hAnsi="Arial" w:cs="Arial"/>
          <w:color w:val="4F81BD" w:themeColor="accent1"/>
          <w:sz w:val="16"/>
          <w:szCs w:val="16"/>
        </w:rPr>
        <w:t>des niveaux</w:t>
      </w:r>
      <w:r w:rsidRPr="0030389C">
        <w:rPr>
          <w:rFonts w:ascii="Arial" w:eastAsia="Arial" w:hAnsi="Arial" w:cs="Arial"/>
          <w:color w:val="4F81BD" w:themeColor="accent1"/>
          <w:sz w:val="16"/>
          <w:szCs w:val="16"/>
        </w:rPr>
        <w:t xml:space="preserve"> dans chaque série, le comité d’organ</w:t>
      </w:r>
      <w:r w:rsidR="007C0B01" w:rsidRPr="0030389C">
        <w:rPr>
          <w:rFonts w:ascii="Arial" w:eastAsia="Arial" w:hAnsi="Arial" w:cs="Arial"/>
          <w:color w:val="4F81BD" w:themeColor="accent1"/>
          <w:sz w:val="16"/>
          <w:szCs w:val="16"/>
        </w:rPr>
        <w:t>isation se réserve le droit de regrouper deux séries ou de changer le format d’une série :</w:t>
      </w:r>
    </w:p>
    <w:p w14:paraId="0DF346E6" w14:textId="20829BE5" w:rsidR="007C0B01" w:rsidRPr="0030389C" w:rsidRDefault="007C0B01" w:rsidP="007C0B01">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1 poule unique de 4 équipes, suivi de matchs de classement</w:t>
      </w:r>
    </w:p>
    <w:p w14:paraId="35B96A85" w14:textId="3717A0DA" w:rsidR="007C0B01" w:rsidRPr="0030389C" w:rsidRDefault="007C0B01" w:rsidP="007C0B01">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2 poules de 4 équipes, suivi de matchs de classement</w:t>
      </w:r>
    </w:p>
    <w:p w14:paraId="07CF13AC" w14:textId="77777777" w:rsidR="00CC2B59" w:rsidRPr="0030389C" w:rsidRDefault="00CC2B59" w:rsidP="00CC2B59">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Composition des équipes :</w:t>
      </w:r>
    </w:p>
    <w:p w14:paraId="2E326ADA" w14:textId="23C86615" w:rsidR="00313B30" w:rsidRPr="0030389C" w:rsidRDefault="00CC2B59" w:rsidP="00CC2B59">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Chaque équipe doit être composée au minimum de 2 hommes et de 2 femmes et au maximum de 4 hommes et 4 femmes.</w:t>
      </w:r>
      <w:r w:rsidR="00F10C4D">
        <w:rPr>
          <w:rFonts w:ascii="Arial" w:eastAsia="Arial" w:hAnsi="Arial" w:cs="Arial"/>
          <w:color w:val="4F81BD" w:themeColor="accent1"/>
          <w:sz w:val="16"/>
          <w:szCs w:val="16"/>
        </w:rPr>
        <w:t xml:space="preserve"> </w:t>
      </w:r>
      <w:r w:rsidR="00F0433A">
        <w:rPr>
          <w:rFonts w:ascii="Arial" w:eastAsia="Arial" w:hAnsi="Arial" w:cs="Arial"/>
          <w:color w:val="4F81BD" w:themeColor="accent1"/>
          <w:sz w:val="16"/>
          <w:szCs w:val="16"/>
        </w:rPr>
        <w:t xml:space="preserve">Les équipes </w:t>
      </w:r>
      <w:r w:rsidR="00F10C4D">
        <w:rPr>
          <w:rFonts w:ascii="Arial" w:eastAsia="Arial" w:hAnsi="Arial" w:cs="Arial"/>
          <w:color w:val="4F81BD" w:themeColor="accent1"/>
          <w:sz w:val="16"/>
          <w:szCs w:val="16"/>
        </w:rPr>
        <w:t>peuvent être</w:t>
      </w:r>
      <w:r w:rsidR="00F0433A">
        <w:rPr>
          <w:rFonts w:ascii="Arial" w:eastAsia="Arial" w:hAnsi="Arial" w:cs="Arial"/>
          <w:color w:val="4F81BD" w:themeColor="accent1"/>
          <w:sz w:val="16"/>
          <w:szCs w:val="16"/>
        </w:rPr>
        <w:t xml:space="preserve"> composés de joueurs</w:t>
      </w:r>
      <w:r w:rsidR="00F10C4D">
        <w:rPr>
          <w:rFonts w:ascii="Arial" w:eastAsia="Arial" w:hAnsi="Arial" w:cs="Arial"/>
          <w:color w:val="4F81BD" w:themeColor="accent1"/>
          <w:sz w:val="16"/>
          <w:szCs w:val="16"/>
        </w:rPr>
        <w:t xml:space="preserve"> de clubs différents.</w:t>
      </w:r>
      <w:r w:rsidR="004A674C">
        <w:rPr>
          <w:rFonts w:ascii="Arial" w:eastAsia="Arial" w:hAnsi="Arial" w:cs="Arial"/>
          <w:color w:val="4F81BD" w:themeColor="accent1"/>
          <w:sz w:val="16"/>
          <w:szCs w:val="16"/>
        </w:rPr>
        <w:t xml:space="preserve"> Un joueur ne peut être inscrit que dans une seule équipe.</w:t>
      </w:r>
    </w:p>
    <w:p w14:paraId="5F39FDF7" w14:textId="77777777" w:rsidR="00E34DFC" w:rsidRPr="0030389C" w:rsidRDefault="00313B30" w:rsidP="00313B30">
      <w:pPr>
        <w:numPr>
          <w:ilvl w:val="1"/>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color w:val="4F81BD" w:themeColor="accent1"/>
          <w:sz w:val="16"/>
          <w:szCs w:val="16"/>
        </w:rPr>
        <w:t>Les classements autorisés dans les catégories de double et de mixte sont :</w:t>
      </w:r>
      <w:r w:rsidRPr="0030389C">
        <w:rPr>
          <w:color w:val="4F81BD" w:themeColor="accent1"/>
        </w:rPr>
        <w:t xml:space="preserve"> </w:t>
      </w:r>
      <w:r w:rsidRPr="0030389C">
        <w:rPr>
          <w:rFonts w:ascii="Arial" w:eastAsia="Arial" w:hAnsi="Arial" w:cs="Arial"/>
          <w:b/>
          <w:color w:val="4F81BD" w:themeColor="accent1"/>
          <w:sz w:val="16"/>
          <w:szCs w:val="16"/>
        </w:rPr>
        <w:t xml:space="preserve">R4, R5, R6, D7, D8, D9, P10, P11, P12, NC. </w:t>
      </w:r>
    </w:p>
    <w:p w14:paraId="4ED0E597" w14:textId="4075E348" w:rsidR="00313B30" w:rsidRPr="0030389C" w:rsidRDefault="00313B30" w:rsidP="00313B30">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Un participant dont le classement est supérieur à R4 dans une catégorie, mais pas dans une autre pourra participer à la compétition, mais ne pourra disputer que des matchs dans les catégories autorisées (ex : un joueur classé R4 en double, et N3 en mixte, ne pourra jouer seulement en double homme)</w:t>
      </w:r>
      <w:r w:rsidR="00B5105C" w:rsidRPr="0030389C">
        <w:rPr>
          <w:rFonts w:ascii="Arial" w:eastAsia="Arial" w:hAnsi="Arial" w:cs="Arial"/>
          <w:color w:val="4F81BD" w:themeColor="accent1"/>
          <w:sz w:val="16"/>
          <w:szCs w:val="16"/>
        </w:rPr>
        <w:t>.</w:t>
      </w:r>
    </w:p>
    <w:p w14:paraId="7A0A4B99" w14:textId="17D778D8" w:rsidR="009960A0" w:rsidRDefault="00CC2B59" w:rsidP="009960A0">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Chaq</w:t>
      </w:r>
      <w:r w:rsidR="00313B30" w:rsidRPr="0030389C">
        <w:rPr>
          <w:rFonts w:ascii="Arial" w:eastAsia="Arial" w:hAnsi="Arial" w:cs="Arial"/>
          <w:color w:val="4F81BD" w:themeColor="accent1"/>
          <w:sz w:val="16"/>
          <w:szCs w:val="16"/>
        </w:rPr>
        <w:t>ue équipe doit désigner lors de l’inscription un capitaine.</w:t>
      </w:r>
      <w:r w:rsidR="00E34DFC" w:rsidRPr="0030389C">
        <w:rPr>
          <w:rFonts w:ascii="Arial" w:eastAsia="Arial" w:hAnsi="Arial" w:cs="Arial"/>
          <w:color w:val="4F81BD" w:themeColor="accent1"/>
          <w:sz w:val="16"/>
          <w:szCs w:val="16"/>
        </w:rPr>
        <w:t xml:space="preserve"> Seul le capitaine sera apte à poser réclamati</w:t>
      </w:r>
      <w:r w:rsidR="00B86AA8" w:rsidRPr="0030389C">
        <w:rPr>
          <w:rFonts w:ascii="Arial" w:eastAsia="Arial" w:hAnsi="Arial" w:cs="Arial"/>
          <w:color w:val="4F81BD" w:themeColor="accent1"/>
          <w:sz w:val="16"/>
          <w:szCs w:val="16"/>
        </w:rPr>
        <w:t>on auprès de la table de marque ou du juge arbitre.</w:t>
      </w:r>
    </w:p>
    <w:p w14:paraId="4043B08A" w14:textId="11EC4690" w:rsidR="009960A0" w:rsidRPr="009960A0" w:rsidRDefault="009960A0" w:rsidP="009960A0">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Chaque équipe devra choisir un nom d’équipe. Celui-ci pourra être humoristique, mais en aucun cas insultant ou d</w:t>
      </w:r>
      <w:bookmarkStart w:id="0" w:name="_GoBack"/>
      <w:bookmarkEnd w:id="0"/>
      <w:r>
        <w:rPr>
          <w:rFonts w:ascii="Arial" w:eastAsia="Arial" w:hAnsi="Arial" w:cs="Arial"/>
          <w:color w:val="4F81BD" w:themeColor="accent1"/>
          <w:sz w:val="16"/>
          <w:szCs w:val="16"/>
        </w:rPr>
        <w:t>éplacé.</w:t>
      </w:r>
    </w:p>
    <w:p w14:paraId="56463610" w14:textId="77777777" w:rsidR="00595127" w:rsidRPr="0030389C" w:rsidRDefault="00595127" w:rsidP="00595127">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Inscription des équipes :</w:t>
      </w:r>
    </w:p>
    <w:p w14:paraId="5E94E1D9" w14:textId="63E19709" w:rsidR="00595127" w:rsidRPr="0030389C"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Aucune inscrip</w:t>
      </w:r>
      <w:r w:rsidR="007B46AE">
        <w:rPr>
          <w:rFonts w:ascii="Arial" w:eastAsia="Arial" w:hAnsi="Arial" w:cs="Arial"/>
          <w:color w:val="4F81BD" w:themeColor="accent1"/>
          <w:sz w:val="16"/>
          <w:szCs w:val="16"/>
        </w:rPr>
        <w:t>tion ne sera acceptée après le 30</w:t>
      </w:r>
      <w:r w:rsidRPr="0030389C">
        <w:rPr>
          <w:rFonts w:ascii="Arial" w:eastAsia="Arial" w:hAnsi="Arial" w:cs="Arial"/>
          <w:color w:val="4F81BD" w:themeColor="accent1"/>
          <w:sz w:val="16"/>
          <w:szCs w:val="16"/>
        </w:rPr>
        <w:t xml:space="preserve"> Mars 2017. Le nombre maximum d’équipes est fixé à 24.</w:t>
      </w:r>
    </w:p>
    <w:p w14:paraId="10A91A1A" w14:textId="472FA6E4" w:rsid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montant des droits d’engagements est de 80 euros par équipe</w:t>
      </w:r>
      <w:r>
        <w:rPr>
          <w:rFonts w:ascii="Arial" w:eastAsia="Arial" w:hAnsi="Arial" w:cs="Arial"/>
          <w:color w:val="4F81BD" w:themeColor="accent1"/>
          <w:sz w:val="16"/>
          <w:szCs w:val="16"/>
        </w:rPr>
        <w:t>, indépendamment du nombre de joueur de l’équipe</w:t>
      </w:r>
      <w:r w:rsidRPr="0030389C">
        <w:rPr>
          <w:rFonts w:ascii="Arial" w:eastAsia="Arial" w:hAnsi="Arial" w:cs="Arial"/>
          <w:color w:val="4F81BD" w:themeColor="accent1"/>
          <w:sz w:val="16"/>
          <w:szCs w:val="16"/>
        </w:rPr>
        <w:t>.</w:t>
      </w:r>
      <w:r>
        <w:rPr>
          <w:rFonts w:ascii="Arial" w:eastAsia="Arial" w:hAnsi="Arial" w:cs="Arial"/>
          <w:color w:val="4F81BD" w:themeColor="accent1"/>
          <w:sz w:val="16"/>
          <w:szCs w:val="16"/>
        </w:rPr>
        <w:t xml:space="preserve"> Ceux-ci devra être réglé par le capitaine.</w:t>
      </w:r>
    </w:p>
    <w:p w14:paraId="65A3C194" w14:textId="622D9B41" w:rsidR="00595127" w:rsidRP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Un minimum de 4 équipes sera nécessaire pour maintenir une série.</w:t>
      </w:r>
    </w:p>
    <w:p w14:paraId="0F063022" w14:textId="77777777" w:rsidR="00595127" w:rsidRPr="004A674C" w:rsidRDefault="00595127" w:rsidP="00595127">
      <w:pPr>
        <w:numPr>
          <w:ilvl w:val="0"/>
          <w:numId w:val="2"/>
        </w:numPr>
        <w:spacing w:after="0" w:line="360" w:lineRule="auto"/>
        <w:ind w:right="-568"/>
        <w:jc w:val="both"/>
        <w:rPr>
          <w:rFonts w:ascii="Arial" w:eastAsia="Arial" w:hAnsi="Arial" w:cs="Arial"/>
          <w:b/>
          <w:color w:val="4F81BD" w:themeColor="accent1"/>
          <w:sz w:val="16"/>
          <w:szCs w:val="16"/>
        </w:rPr>
      </w:pPr>
      <w:r w:rsidRPr="004A674C">
        <w:rPr>
          <w:rFonts w:ascii="Arial" w:eastAsia="Arial" w:hAnsi="Arial" w:cs="Arial"/>
          <w:b/>
          <w:color w:val="4F81BD" w:themeColor="accent1"/>
          <w:sz w:val="16"/>
          <w:szCs w:val="16"/>
        </w:rPr>
        <w:t>Remplacement :</w:t>
      </w:r>
    </w:p>
    <w:p w14:paraId="7B714664" w14:textId="3C315912" w:rsid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Après la date limite d’inscription, le Juge Arbitre pourra autoriser le remplacement d’un joueur par un joueur non encore inscrit, ou par le transfert d’un joueur d’une autre équipe, avec l’accord des deux capitaines. Le joueur remplaçant ne devra pas avoir un classement qui modifie la valeur de l’équipe.</w:t>
      </w:r>
    </w:p>
    <w:p w14:paraId="43A65374" w14:textId="77777777" w:rsid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Un joueur blessé en cours de tournoi fera constater sa blessure par le juge-Arbitre, et pourra être remplacé.</w:t>
      </w:r>
    </w:p>
    <w:p w14:paraId="5EDC5CFC" w14:textId="77777777" w:rsid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 xml:space="preserve">Le remplacement sera effectif jusqu’à la fin du tournoi. </w:t>
      </w:r>
    </w:p>
    <w:p w14:paraId="691CC032" w14:textId="186F590F" w:rsid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Si le remplacement du joueur blessé n’est pas possible et si l’équipe reste incomplète, un match forfait sera comptabilisé pour chaque match non disputé.</w:t>
      </w:r>
    </w:p>
    <w:p w14:paraId="73AEE0A1" w14:textId="77777777" w:rsidR="00595127" w:rsidRPr="0030389C" w:rsidRDefault="00595127" w:rsidP="00595127">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 xml:space="preserve">Sanctions, forfait et remplacement : </w:t>
      </w:r>
    </w:p>
    <w:p w14:paraId="16EC7545" w14:textId="77777777" w:rsidR="00595127" w:rsidRPr="004A674C"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4A674C">
        <w:rPr>
          <w:rFonts w:ascii="Arial" w:eastAsia="Arial" w:hAnsi="Arial" w:cs="Arial"/>
          <w:color w:val="4F81BD" w:themeColor="accent1"/>
          <w:sz w:val="16"/>
          <w:szCs w:val="16"/>
        </w:rPr>
        <w:t xml:space="preserve">Tout(e) participant(e) doit connaître les sanctions encourues en cas de « forfait » après la date du tirage au sort (voir règlement des forfaits). </w:t>
      </w:r>
      <w:r>
        <w:rPr>
          <w:rFonts w:ascii="Arial" w:eastAsia="Arial" w:hAnsi="Arial" w:cs="Arial"/>
          <w:color w:val="4F81BD" w:themeColor="accent1"/>
          <w:sz w:val="16"/>
          <w:szCs w:val="16"/>
        </w:rPr>
        <w:t xml:space="preserve"> </w:t>
      </w:r>
      <w:r w:rsidRPr="004A674C">
        <w:rPr>
          <w:rFonts w:ascii="Arial" w:eastAsia="Arial" w:hAnsi="Arial" w:cs="Arial"/>
          <w:color w:val="4F81BD" w:themeColor="accent1"/>
          <w:sz w:val="16"/>
          <w:szCs w:val="16"/>
        </w:rPr>
        <w:t>Tout joueur ayant connaissance d’une sanction disciplinaire à son encontre ne peut pas s’inscrire au tournoi.</w:t>
      </w:r>
    </w:p>
    <w:p w14:paraId="085B92BD" w14:textId="77777777" w:rsidR="00595127" w:rsidRPr="0030389C"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lastRenderedPageBreak/>
        <w:t>En cas de forfait d’un participant, celui-ci doit prévenir le comité d’organisation de sa non-participation, adressera et postera dans les délais impartis les pièces justificatives à la commission « Compétitions » de la Ligue Occitanie de badminton.</w:t>
      </w:r>
    </w:p>
    <w:p w14:paraId="02B84EAC" w14:textId="1A70B850" w:rsidR="00595127" w:rsidRP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cas de forfait d’une équipe après la date limite d’inscription, les droits d’engagements resteront acquis au comité d’organisation. Chaque membre de l’équipe sera décl</w:t>
      </w:r>
      <w:r>
        <w:rPr>
          <w:rFonts w:ascii="Arial" w:eastAsia="Arial" w:hAnsi="Arial" w:cs="Arial"/>
          <w:color w:val="4F81BD" w:themeColor="accent1"/>
          <w:sz w:val="16"/>
          <w:szCs w:val="16"/>
        </w:rPr>
        <w:t>aré forfait pour le tournoi.</w:t>
      </w:r>
    </w:p>
    <w:p w14:paraId="0CF5CC74" w14:textId="77777777" w:rsidR="00EE2D7D" w:rsidRPr="0030389C" w:rsidRDefault="00313B30" w:rsidP="009A596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Valeur d’une équipe :</w:t>
      </w:r>
    </w:p>
    <w:p w14:paraId="4CB12B8C" w14:textId="292486FE" w:rsidR="00341B92" w:rsidRPr="00DB4868" w:rsidRDefault="00313B30" w:rsidP="00313B30">
      <w:pPr>
        <w:numPr>
          <w:ilvl w:val="1"/>
          <w:numId w:val="2"/>
        </w:numPr>
        <w:spacing w:after="0" w:line="360" w:lineRule="auto"/>
        <w:ind w:right="-568"/>
        <w:jc w:val="both"/>
        <w:rPr>
          <w:rFonts w:ascii="Arial" w:eastAsia="Arial" w:hAnsi="Arial" w:cs="Arial"/>
          <w:color w:val="4F81BD" w:themeColor="accent1"/>
          <w:sz w:val="16"/>
          <w:szCs w:val="16"/>
        </w:rPr>
      </w:pPr>
      <w:r w:rsidRPr="00DB4868">
        <w:rPr>
          <w:rFonts w:ascii="Arial" w:eastAsia="Arial" w:hAnsi="Arial" w:cs="Arial"/>
          <w:color w:val="4F81BD" w:themeColor="accent1"/>
          <w:sz w:val="16"/>
          <w:szCs w:val="16"/>
        </w:rPr>
        <w:t xml:space="preserve">Les équipes seront réparties dans 4 séries en fonction de leur valeur. </w:t>
      </w:r>
      <w:r w:rsidR="00DB4868" w:rsidRPr="00DB4868">
        <w:rPr>
          <w:rFonts w:ascii="Arial" w:eastAsia="Arial" w:hAnsi="Arial" w:cs="Arial"/>
          <w:color w:val="4F81BD" w:themeColor="accent1"/>
          <w:sz w:val="16"/>
          <w:szCs w:val="16"/>
        </w:rPr>
        <w:t xml:space="preserve">La valeur de l’équipe d’un club s’apprécie selon le barème en Article 9, et </w:t>
      </w:r>
      <w:r w:rsidRPr="00DB4868">
        <w:rPr>
          <w:rFonts w:ascii="Arial" w:eastAsia="Arial" w:hAnsi="Arial" w:cs="Arial"/>
          <w:color w:val="4F81BD" w:themeColor="accent1"/>
          <w:sz w:val="16"/>
          <w:szCs w:val="16"/>
        </w:rPr>
        <w:t xml:space="preserve">sera </w:t>
      </w:r>
      <w:r w:rsidR="004C70E7" w:rsidRPr="00DB4868">
        <w:rPr>
          <w:rFonts w:ascii="Arial" w:eastAsia="Arial" w:hAnsi="Arial" w:cs="Arial"/>
          <w:color w:val="4F81BD" w:themeColor="accent1"/>
          <w:sz w:val="16"/>
          <w:szCs w:val="16"/>
        </w:rPr>
        <w:t xml:space="preserve">égale au total </w:t>
      </w:r>
      <w:r w:rsidR="00DB4868">
        <w:rPr>
          <w:rFonts w:ascii="Arial" w:eastAsia="Arial" w:hAnsi="Arial" w:cs="Arial"/>
          <w:color w:val="4F81BD" w:themeColor="accent1"/>
          <w:sz w:val="16"/>
          <w:szCs w:val="16"/>
        </w:rPr>
        <w:t>des classements suivants :</w:t>
      </w:r>
    </w:p>
    <w:p w14:paraId="43E0768C" w14:textId="77777777" w:rsidR="00313B30" w:rsidRPr="0030389C" w:rsidRDefault="00341B92" w:rsidP="00341B92">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meilleur classement de double chez les hommes</w:t>
      </w:r>
    </w:p>
    <w:p w14:paraId="1530A6CA" w14:textId="77777777" w:rsidR="00313B30" w:rsidRPr="0030389C" w:rsidRDefault="00341B92" w:rsidP="00341B92">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meilleur classement de mixte chez les hommes</w:t>
      </w:r>
    </w:p>
    <w:p w14:paraId="067B4344" w14:textId="77777777" w:rsidR="00341B92" w:rsidRPr="0030389C" w:rsidRDefault="00341B92" w:rsidP="00341B92">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meilleur classement de double chez les femmes</w:t>
      </w:r>
    </w:p>
    <w:p w14:paraId="6CDFC0DB" w14:textId="48E268C1" w:rsidR="00341B92" w:rsidRPr="0030389C" w:rsidRDefault="00341B92" w:rsidP="00067C94">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meilleur classement de mixte chez les femmes</w:t>
      </w:r>
    </w:p>
    <w:p w14:paraId="28E00013" w14:textId="7D985BE3" w:rsidR="003A4D85" w:rsidRDefault="00067C94" w:rsidP="003A4D85">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Ne seront pas pris en compte les classements pour l</w:t>
      </w:r>
      <w:r w:rsidR="004C70E7" w:rsidRPr="0030389C">
        <w:rPr>
          <w:rFonts w:ascii="Arial" w:eastAsia="Arial" w:hAnsi="Arial" w:cs="Arial"/>
          <w:color w:val="4F81BD" w:themeColor="accent1"/>
          <w:sz w:val="16"/>
          <w:szCs w:val="16"/>
        </w:rPr>
        <w:t>es catégories non-autorisées (N3, N2, N1)</w:t>
      </w:r>
    </w:p>
    <w:p w14:paraId="3C56D1CB" w14:textId="5CD3E8A9" w:rsidR="004C70E7" w:rsidRPr="0030389C" w:rsidRDefault="003A4D85" w:rsidP="003A4D85">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Barème d’estimation de la valeur d’un joueur ou d’une équipe :</w:t>
      </w:r>
    </w:p>
    <w:tbl>
      <w:tblPr>
        <w:tblStyle w:val="TableGrid"/>
        <w:tblW w:w="0" w:type="auto"/>
        <w:tblInd w:w="1440" w:type="dxa"/>
        <w:tblLook w:val="04A0" w:firstRow="1" w:lastRow="0" w:firstColumn="1" w:lastColumn="0" w:noHBand="0" w:noVBand="1"/>
      </w:tblPr>
      <w:tblGrid>
        <w:gridCol w:w="535"/>
        <w:gridCol w:w="2353"/>
        <w:gridCol w:w="527"/>
        <w:gridCol w:w="2070"/>
        <w:gridCol w:w="990"/>
        <w:gridCol w:w="900"/>
      </w:tblGrid>
      <w:tr w:rsidR="0030389C" w:rsidRPr="0030389C" w14:paraId="52D69F12" w14:textId="77777777" w:rsidTr="007F6B5C">
        <w:tc>
          <w:tcPr>
            <w:tcW w:w="535" w:type="dxa"/>
          </w:tcPr>
          <w:p w14:paraId="03D22E8D" w14:textId="58077C31"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R4</w:t>
            </w:r>
          </w:p>
        </w:tc>
        <w:tc>
          <w:tcPr>
            <w:tcW w:w="2353" w:type="dxa"/>
          </w:tcPr>
          <w:p w14:paraId="307D15FB" w14:textId="5B869AA9"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9 points</w:t>
            </w:r>
          </w:p>
        </w:tc>
        <w:tc>
          <w:tcPr>
            <w:tcW w:w="527" w:type="dxa"/>
          </w:tcPr>
          <w:p w14:paraId="198AB1CF" w14:textId="4EA7195E"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D7</w:t>
            </w:r>
          </w:p>
        </w:tc>
        <w:tc>
          <w:tcPr>
            <w:tcW w:w="2070" w:type="dxa"/>
          </w:tcPr>
          <w:p w14:paraId="315092CB" w14:textId="26AD0F00"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6 points</w:t>
            </w:r>
          </w:p>
        </w:tc>
        <w:tc>
          <w:tcPr>
            <w:tcW w:w="990" w:type="dxa"/>
          </w:tcPr>
          <w:p w14:paraId="7B1C38BB" w14:textId="7C3EAC36"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P10</w:t>
            </w:r>
          </w:p>
        </w:tc>
        <w:tc>
          <w:tcPr>
            <w:tcW w:w="900" w:type="dxa"/>
          </w:tcPr>
          <w:p w14:paraId="04B9469D" w14:textId="2E4502CB"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3 points</w:t>
            </w:r>
          </w:p>
        </w:tc>
      </w:tr>
      <w:tr w:rsidR="0030389C" w:rsidRPr="0030389C" w14:paraId="5B8B3C12" w14:textId="77777777" w:rsidTr="007F6B5C">
        <w:tc>
          <w:tcPr>
            <w:tcW w:w="535" w:type="dxa"/>
          </w:tcPr>
          <w:p w14:paraId="0EA14B8F" w14:textId="178A9C77"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R5</w:t>
            </w:r>
          </w:p>
        </w:tc>
        <w:tc>
          <w:tcPr>
            <w:tcW w:w="2353" w:type="dxa"/>
          </w:tcPr>
          <w:p w14:paraId="670CDF9B" w14:textId="5D8070A5"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8 points</w:t>
            </w:r>
          </w:p>
        </w:tc>
        <w:tc>
          <w:tcPr>
            <w:tcW w:w="527" w:type="dxa"/>
          </w:tcPr>
          <w:p w14:paraId="32E6B132" w14:textId="3768433E"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D8</w:t>
            </w:r>
          </w:p>
        </w:tc>
        <w:tc>
          <w:tcPr>
            <w:tcW w:w="2070" w:type="dxa"/>
          </w:tcPr>
          <w:p w14:paraId="5CDC7481" w14:textId="630BF0A3"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5 points</w:t>
            </w:r>
          </w:p>
        </w:tc>
        <w:tc>
          <w:tcPr>
            <w:tcW w:w="990" w:type="dxa"/>
          </w:tcPr>
          <w:p w14:paraId="106E649D" w14:textId="0E4AAD8A"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P11</w:t>
            </w:r>
          </w:p>
        </w:tc>
        <w:tc>
          <w:tcPr>
            <w:tcW w:w="900" w:type="dxa"/>
          </w:tcPr>
          <w:p w14:paraId="76169627" w14:textId="479A0D01"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2 points</w:t>
            </w:r>
          </w:p>
        </w:tc>
      </w:tr>
      <w:tr w:rsidR="007F6B5C" w:rsidRPr="0030389C" w14:paraId="0024F2CC" w14:textId="77777777" w:rsidTr="007F6B5C">
        <w:tc>
          <w:tcPr>
            <w:tcW w:w="535" w:type="dxa"/>
          </w:tcPr>
          <w:p w14:paraId="078C5995" w14:textId="34FF37F1"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R6</w:t>
            </w:r>
          </w:p>
        </w:tc>
        <w:tc>
          <w:tcPr>
            <w:tcW w:w="2353" w:type="dxa"/>
          </w:tcPr>
          <w:p w14:paraId="1B774689" w14:textId="1BC723CD"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7 points</w:t>
            </w:r>
          </w:p>
        </w:tc>
        <w:tc>
          <w:tcPr>
            <w:tcW w:w="527" w:type="dxa"/>
          </w:tcPr>
          <w:p w14:paraId="3799C251" w14:textId="2EE91D77"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D9</w:t>
            </w:r>
          </w:p>
        </w:tc>
        <w:tc>
          <w:tcPr>
            <w:tcW w:w="2070" w:type="dxa"/>
          </w:tcPr>
          <w:p w14:paraId="2E5550D8" w14:textId="3669C5AF"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4 points</w:t>
            </w:r>
          </w:p>
        </w:tc>
        <w:tc>
          <w:tcPr>
            <w:tcW w:w="990" w:type="dxa"/>
          </w:tcPr>
          <w:p w14:paraId="1A0B2C4A" w14:textId="0829B5A4"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P12-NC</w:t>
            </w:r>
          </w:p>
        </w:tc>
        <w:tc>
          <w:tcPr>
            <w:tcW w:w="900" w:type="dxa"/>
          </w:tcPr>
          <w:p w14:paraId="39AEC0BD" w14:textId="6AB32C0C" w:rsidR="007F6B5C" w:rsidRPr="0030389C" w:rsidRDefault="007F6B5C" w:rsidP="007F6B5C">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1 point</w:t>
            </w:r>
          </w:p>
        </w:tc>
      </w:tr>
    </w:tbl>
    <w:p w14:paraId="4F54D34B" w14:textId="77777777" w:rsidR="007F6B5C" w:rsidRPr="0030389C" w:rsidRDefault="007F6B5C" w:rsidP="003A4D85">
      <w:pPr>
        <w:spacing w:after="0" w:line="360" w:lineRule="auto"/>
        <w:ind w:right="-568"/>
        <w:jc w:val="both"/>
        <w:rPr>
          <w:rFonts w:ascii="Arial" w:eastAsia="Arial" w:hAnsi="Arial" w:cs="Arial"/>
          <w:color w:val="4F81BD" w:themeColor="accent1"/>
          <w:sz w:val="16"/>
          <w:szCs w:val="16"/>
        </w:rPr>
      </w:pPr>
    </w:p>
    <w:p w14:paraId="1C238893" w14:textId="2041AEE1" w:rsidR="00B5105C" w:rsidRPr="0030389C" w:rsidRDefault="00B5105C" w:rsidP="00B5105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Feuille</w:t>
      </w:r>
      <w:r w:rsidR="00E31B2C" w:rsidRPr="0030389C">
        <w:rPr>
          <w:rFonts w:ascii="Arial" w:eastAsia="Arial" w:hAnsi="Arial" w:cs="Arial"/>
          <w:b/>
          <w:color w:val="4F81BD" w:themeColor="accent1"/>
          <w:sz w:val="16"/>
          <w:szCs w:val="16"/>
        </w:rPr>
        <w:t>s</w:t>
      </w:r>
      <w:r w:rsidRPr="0030389C">
        <w:rPr>
          <w:rFonts w:ascii="Arial" w:eastAsia="Arial" w:hAnsi="Arial" w:cs="Arial"/>
          <w:b/>
          <w:color w:val="4F81BD" w:themeColor="accent1"/>
          <w:sz w:val="16"/>
          <w:szCs w:val="16"/>
        </w:rPr>
        <w:t xml:space="preserve"> de Match</w:t>
      </w:r>
      <w:r w:rsidR="00E31B2C" w:rsidRPr="0030389C">
        <w:rPr>
          <w:rFonts w:ascii="Arial" w:eastAsia="Arial" w:hAnsi="Arial" w:cs="Arial"/>
          <w:b/>
          <w:color w:val="4F81BD" w:themeColor="accent1"/>
          <w:sz w:val="16"/>
          <w:szCs w:val="16"/>
        </w:rPr>
        <w:t>s :</w:t>
      </w:r>
    </w:p>
    <w:p w14:paraId="35710A48" w14:textId="5BD6B080" w:rsidR="00E31B2C" w:rsidRPr="0030389C" w:rsidRDefault="00E31B2C" w:rsidP="00E31B2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Dans un souci de gain de temps pendant le tournoi, les compositions des équipes</w:t>
      </w:r>
      <w:r w:rsidR="0030389C" w:rsidRPr="0030389C">
        <w:rPr>
          <w:rFonts w:ascii="Arial" w:eastAsia="Arial" w:hAnsi="Arial" w:cs="Arial"/>
          <w:color w:val="4F81BD" w:themeColor="accent1"/>
          <w:sz w:val="16"/>
          <w:szCs w:val="16"/>
        </w:rPr>
        <w:t xml:space="preserve"> pour chaque match</w:t>
      </w:r>
      <w:r w:rsidRPr="0030389C">
        <w:rPr>
          <w:rFonts w:ascii="Arial" w:eastAsia="Arial" w:hAnsi="Arial" w:cs="Arial"/>
          <w:color w:val="4F81BD" w:themeColor="accent1"/>
          <w:sz w:val="16"/>
          <w:szCs w:val="16"/>
        </w:rPr>
        <w:t xml:space="preserve"> </w:t>
      </w:r>
      <w:r w:rsidR="004C70E7" w:rsidRPr="0030389C">
        <w:rPr>
          <w:rFonts w:ascii="Arial" w:eastAsia="Arial" w:hAnsi="Arial" w:cs="Arial"/>
          <w:color w:val="4F81BD" w:themeColor="accent1"/>
          <w:sz w:val="16"/>
          <w:szCs w:val="16"/>
        </w:rPr>
        <w:t>devront être</w:t>
      </w:r>
      <w:r w:rsidRPr="0030389C">
        <w:rPr>
          <w:rFonts w:ascii="Arial" w:eastAsia="Arial" w:hAnsi="Arial" w:cs="Arial"/>
          <w:color w:val="4F81BD" w:themeColor="accent1"/>
          <w:sz w:val="16"/>
          <w:szCs w:val="16"/>
        </w:rPr>
        <w:t xml:space="preserve"> renseignées avant le tournoi.</w:t>
      </w:r>
    </w:p>
    <w:p w14:paraId="1E7CD84E" w14:textId="27A326B1" w:rsidR="00E31B2C" w:rsidRPr="0030389C" w:rsidRDefault="00E31B2C" w:rsidP="004C70E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I</w:t>
      </w:r>
      <w:r w:rsidR="00B5105C" w:rsidRPr="0030389C">
        <w:rPr>
          <w:rFonts w:ascii="Arial" w:eastAsia="Arial" w:hAnsi="Arial" w:cs="Arial"/>
          <w:color w:val="4F81BD" w:themeColor="accent1"/>
          <w:sz w:val="16"/>
          <w:szCs w:val="16"/>
        </w:rPr>
        <w:t>l sera envoy</w:t>
      </w:r>
      <w:r w:rsidRPr="0030389C">
        <w:rPr>
          <w:rFonts w:ascii="Arial" w:eastAsia="Arial" w:hAnsi="Arial" w:cs="Arial"/>
          <w:color w:val="4F81BD" w:themeColor="accent1"/>
          <w:sz w:val="16"/>
          <w:szCs w:val="16"/>
        </w:rPr>
        <w:t xml:space="preserve">é à chaque capitaine d’équipes au plus tard le </w:t>
      </w:r>
      <w:r w:rsidRPr="0030389C">
        <w:rPr>
          <w:rFonts w:ascii="Arial" w:eastAsia="Arial" w:hAnsi="Arial" w:cs="Arial"/>
          <w:b/>
          <w:color w:val="4F81BD" w:themeColor="accent1"/>
          <w:sz w:val="16"/>
          <w:szCs w:val="16"/>
        </w:rPr>
        <w:t>lundi 2 Avril</w:t>
      </w:r>
      <w:r w:rsidRPr="0030389C">
        <w:rPr>
          <w:rFonts w:ascii="Arial" w:eastAsia="Arial" w:hAnsi="Arial" w:cs="Arial"/>
          <w:color w:val="4F81BD" w:themeColor="accent1"/>
          <w:sz w:val="16"/>
          <w:szCs w:val="16"/>
        </w:rPr>
        <w:t xml:space="preserve"> les </w:t>
      </w:r>
      <w:r w:rsidR="00067C94" w:rsidRPr="0030389C">
        <w:rPr>
          <w:rFonts w:ascii="Arial" w:eastAsia="Arial" w:hAnsi="Arial" w:cs="Arial"/>
          <w:color w:val="4F81BD" w:themeColor="accent1"/>
          <w:sz w:val="16"/>
          <w:szCs w:val="16"/>
        </w:rPr>
        <w:t>feuilles de match à renseigner.</w:t>
      </w:r>
      <w:r w:rsidR="004C70E7" w:rsidRPr="0030389C">
        <w:rPr>
          <w:rFonts w:ascii="Arial" w:eastAsia="Arial" w:hAnsi="Arial" w:cs="Arial"/>
          <w:color w:val="4F81BD" w:themeColor="accent1"/>
          <w:sz w:val="16"/>
          <w:szCs w:val="16"/>
        </w:rPr>
        <w:t xml:space="preserve"> </w:t>
      </w:r>
      <w:r w:rsidRPr="0030389C">
        <w:rPr>
          <w:rFonts w:ascii="Arial" w:eastAsia="Arial" w:hAnsi="Arial" w:cs="Arial"/>
          <w:color w:val="4F81BD" w:themeColor="accent1"/>
          <w:sz w:val="16"/>
          <w:szCs w:val="16"/>
        </w:rPr>
        <w:t>Il devra renvoyer au comité d’organisation les compositions pour l’ensemble des matchs du week-end</w:t>
      </w:r>
      <w:r w:rsidR="00067C94" w:rsidRPr="0030389C">
        <w:rPr>
          <w:rFonts w:ascii="Arial" w:eastAsia="Arial" w:hAnsi="Arial" w:cs="Arial"/>
          <w:color w:val="4F81BD" w:themeColor="accent1"/>
          <w:sz w:val="16"/>
          <w:szCs w:val="16"/>
        </w:rPr>
        <w:t xml:space="preserve"> au plus tard l</w:t>
      </w:r>
      <w:r w:rsidR="00067C94" w:rsidRPr="0030389C">
        <w:rPr>
          <w:rFonts w:ascii="Arial" w:eastAsia="Arial" w:hAnsi="Arial" w:cs="Arial"/>
          <w:b/>
          <w:color w:val="4F81BD" w:themeColor="accent1"/>
          <w:sz w:val="16"/>
          <w:szCs w:val="16"/>
        </w:rPr>
        <w:t>e mardi 10 Avril.</w:t>
      </w:r>
    </w:p>
    <w:p w14:paraId="517407EF" w14:textId="17AA3EA8" w:rsidR="00067C94" w:rsidRPr="0030389C" w:rsidRDefault="00067C94" w:rsidP="00E31B2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Dans le cas où une équipe ne renverrait pas sa composition d’équipe à temps, les matchs de l’équipe seront indiqués avec les hommes 1 et 2 et les femmes 1 et 2.</w:t>
      </w:r>
    </w:p>
    <w:p w14:paraId="322A720F" w14:textId="2FA73FEA" w:rsidR="00067C94" w:rsidRPr="0030389C" w:rsidRDefault="00067C94" w:rsidP="00E31B2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Les feuilles de matchs pourront être modifiés le jour du tournoi</w:t>
      </w:r>
      <w:r w:rsidR="00595127">
        <w:rPr>
          <w:rFonts w:ascii="Arial" w:eastAsia="Arial" w:hAnsi="Arial" w:cs="Arial"/>
          <w:color w:val="4F81BD" w:themeColor="accent1"/>
          <w:sz w:val="16"/>
          <w:szCs w:val="16"/>
        </w:rPr>
        <w:t xml:space="preserve"> </w:t>
      </w:r>
      <w:r w:rsidRPr="0030389C">
        <w:rPr>
          <w:rFonts w:ascii="Arial" w:eastAsia="Arial" w:hAnsi="Arial" w:cs="Arial"/>
          <w:color w:val="4F81BD" w:themeColor="accent1"/>
          <w:sz w:val="16"/>
          <w:szCs w:val="16"/>
        </w:rPr>
        <w:t>dans le cas d’un abandon</w:t>
      </w:r>
      <w:r w:rsidR="00595127">
        <w:rPr>
          <w:rFonts w:ascii="Arial" w:eastAsia="Arial" w:hAnsi="Arial" w:cs="Arial"/>
          <w:color w:val="4F81BD" w:themeColor="accent1"/>
          <w:sz w:val="16"/>
          <w:szCs w:val="16"/>
        </w:rPr>
        <w:t>, d’un forfait, ou d’une blessure</w:t>
      </w:r>
      <w:r w:rsidRPr="0030389C">
        <w:rPr>
          <w:rFonts w:ascii="Arial" w:eastAsia="Arial" w:hAnsi="Arial" w:cs="Arial"/>
          <w:color w:val="4F81BD" w:themeColor="accent1"/>
          <w:sz w:val="16"/>
          <w:szCs w:val="16"/>
        </w:rPr>
        <w:t xml:space="preserve"> d’</w:t>
      </w:r>
      <w:r w:rsidR="007F6B5C" w:rsidRPr="0030389C">
        <w:rPr>
          <w:rFonts w:ascii="Arial" w:eastAsia="Arial" w:hAnsi="Arial" w:cs="Arial"/>
          <w:color w:val="4F81BD" w:themeColor="accent1"/>
          <w:sz w:val="16"/>
          <w:szCs w:val="16"/>
        </w:rPr>
        <w:t>un joueur.</w:t>
      </w:r>
    </w:p>
    <w:p w14:paraId="05485342" w14:textId="4D657759" w:rsidR="00F0433A" w:rsidRPr="00595127" w:rsidRDefault="00023DAA" w:rsidP="00595127">
      <w:pPr>
        <w:numPr>
          <w:ilvl w:val="1"/>
          <w:numId w:val="2"/>
        </w:numPr>
        <w:spacing w:after="0" w:line="360" w:lineRule="auto"/>
        <w:ind w:right="-568"/>
        <w:jc w:val="both"/>
        <w:rPr>
          <w:rFonts w:ascii="Arial" w:eastAsia="Arial" w:hAnsi="Arial" w:cs="Arial"/>
          <w:color w:val="4F81BD" w:themeColor="accent1"/>
          <w:sz w:val="16"/>
          <w:szCs w:val="16"/>
        </w:rPr>
      </w:pPr>
      <w:r>
        <w:rPr>
          <w:rFonts w:ascii="Arial" w:eastAsia="Arial" w:hAnsi="Arial" w:cs="Arial"/>
          <w:color w:val="4F81BD" w:themeColor="accent1"/>
          <w:sz w:val="16"/>
          <w:szCs w:val="16"/>
        </w:rPr>
        <w:t xml:space="preserve">Un </w:t>
      </w:r>
      <w:r w:rsidRPr="0030389C">
        <w:rPr>
          <w:rFonts w:ascii="Arial" w:eastAsia="Arial" w:hAnsi="Arial" w:cs="Arial"/>
          <w:color w:val="4F81BD" w:themeColor="accent1"/>
          <w:sz w:val="16"/>
          <w:szCs w:val="16"/>
        </w:rPr>
        <w:t xml:space="preserve">participant(e) </w:t>
      </w:r>
      <w:r>
        <w:rPr>
          <w:rFonts w:ascii="Arial" w:eastAsia="Arial" w:hAnsi="Arial" w:cs="Arial"/>
          <w:color w:val="4F81BD" w:themeColor="accent1"/>
          <w:sz w:val="16"/>
          <w:szCs w:val="16"/>
        </w:rPr>
        <w:t xml:space="preserve">ne peut disputer qu’un seul mixte par rencontre. Le </w:t>
      </w:r>
      <w:r w:rsidR="007F6B5C" w:rsidRPr="0030389C">
        <w:rPr>
          <w:rFonts w:ascii="Arial" w:eastAsia="Arial" w:hAnsi="Arial" w:cs="Arial"/>
          <w:color w:val="4F81BD" w:themeColor="accent1"/>
          <w:sz w:val="16"/>
          <w:szCs w:val="16"/>
        </w:rPr>
        <w:t>total des classements de mixte des joueurs du mixte 1 devra avoir une valeur supérieure ou égale ou plus grande au total des classements de mixte des joueurs du mixte 2.</w:t>
      </w:r>
      <w:r w:rsidR="003A4D85" w:rsidRPr="0030389C">
        <w:rPr>
          <w:rFonts w:ascii="Arial" w:eastAsia="Arial" w:hAnsi="Arial" w:cs="Arial"/>
          <w:color w:val="4F81BD" w:themeColor="accent1"/>
          <w:sz w:val="16"/>
          <w:szCs w:val="16"/>
        </w:rPr>
        <w:t xml:space="preserve"> Les valeurs des mixte seront calculées à l’aide du tableau de l’Article 7.2.</w:t>
      </w:r>
    </w:p>
    <w:p w14:paraId="31D55895" w14:textId="7C6D94A4" w:rsidR="00B5105C" w:rsidRPr="0030389C" w:rsidRDefault="00B5105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Fourniture des Volants :</w:t>
      </w:r>
    </w:p>
    <w:p w14:paraId="03FA7526" w14:textId="25A79BDB" w:rsidR="00262820" w:rsidRPr="0030389C" w:rsidRDefault="00DB4868" w:rsidP="00B5105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Le volant officiel du tournoi est le </w:t>
      </w:r>
      <w:proofErr w:type="spellStart"/>
      <w:r w:rsidRPr="00DB4868">
        <w:rPr>
          <w:rFonts w:ascii="Arial" w:eastAsia="Arial" w:hAnsi="Arial" w:cs="Arial"/>
          <w:b/>
          <w:color w:val="4F81BD" w:themeColor="accent1"/>
          <w:sz w:val="16"/>
          <w:szCs w:val="16"/>
        </w:rPr>
        <w:t>Ashaway</w:t>
      </w:r>
      <w:proofErr w:type="spellEnd"/>
      <w:r w:rsidRPr="00DB4868">
        <w:rPr>
          <w:rFonts w:ascii="Arial" w:eastAsia="Arial" w:hAnsi="Arial" w:cs="Arial"/>
          <w:b/>
          <w:color w:val="4F81BD" w:themeColor="accent1"/>
          <w:sz w:val="16"/>
          <w:szCs w:val="16"/>
        </w:rPr>
        <w:t xml:space="preserve"> A6</w:t>
      </w:r>
      <w:r>
        <w:rPr>
          <w:rFonts w:ascii="Arial" w:eastAsia="Arial" w:hAnsi="Arial" w:cs="Arial"/>
          <w:color w:val="4F81BD" w:themeColor="accent1"/>
          <w:sz w:val="16"/>
          <w:szCs w:val="16"/>
        </w:rPr>
        <w:t>. Pour les catégories P, les matchs pourront se jouer avec des vo</w:t>
      </w:r>
      <w:r w:rsidR="00F10C4D">
        <w:rPr>
          <w:rFonts w:ascii="Arial" w:eastAsia="Arial" w:hAnsi="Arial" w:cs="Arial"/>
          <w:color w:val="4F81BD" w:themeColor="accent1"/>
          <w:sz w:val="16"/>
          <w:szCs w:val="16"/>
        </w:rPr>
        <w:t>lants en plastique en cas d’accord entre les deux équipes</w:t>
      </w:r>
      <w:r>
        <w:rPr>
          <w:rFonts w:ascii="Arial" w:eastAsia="Arial" w:hAnsi="Arial" w:cs="Arial"/>
          <w:color w:val="4F81BD" w:themeColor="accent1"/>
          <w:sz w:val="16"/>
          <w:szCs w:val="16"/>
        </w:rPr>
        <w:t xml:space="preserve">. Pour les volants plastiques, le volant officiel est le </w:t>
      </w:r>
      <w:proofErr w:type="spellStart"/>
      <w:r w:rsidRPr="00F10C4D">
        <w:rPr>
          <w:rFonts w:ascii="Arial" w:eastAsia="Arial" w:hAnsi="Arial" w:cs="Arial"/>
          <w:b/>
          <w:color w:val="4F81BD" w:themeColor="accent1"/>
          <w:sz w:val="16"/>
          <w:szCs w:val="16"/>
        </w:rPr>
        <w:t>Yonex</w:t>
      </w:r>
      <w:proofErr w:type="spellEnd"/>
      <w:r w:rsidRPr="00F10C4D">
        <w:rPr>
          <w:rFonts w:ascii="Arial" w:eastAsia="Arial" w:hAnsi="Arial" w:cs="Arial"/>
          <w:b/>
          <w:color w:val="4F81BD" w:themeColor="accent1"/>
          <w:sz w:val="16"/>
          <w:szCs w:val="16"/>
        </w:rPr>
        <w:t xml:space="preserve"> MAVIS 300</w:t>
      </w:r>
      <w:r w:rsidR="00F10C4D">
        <w:rPr>
          <w:rFonts w:ascii="Arial" w:eastAsia="Arial" w:hAnsi="Arial" w:cs="Arial"/>
          <w:color w:val="4F81BD" w:themeColor="accent1"/>
          <w:sz w:val="16"/>
          <w:szCs w:val="16"/>
        </w:rPr>
        <w:t xml:space="preserve">. </w:t>
      </w:r>
      <w:r w:rsidR="00981AD2" w:rsidRPr="0030389C">
        <w:rPr>
          <w:rFonts w:ascii="Arial" w:eastAsia="Arial" w:hAnsi="Arial" w:cs="Arial"/>
          <w:color w:val="4F81BD" w:themeColor="accent1"/>
          <w:sz w:val="16"/>
          <w:szCs w:val="16"/>
        </w:rPr>
        <w:t>Les volants ne sont pas fournis par le comité d’organisation. En cas de litige, le volant par défaut sera le volant officiel du tournoi.</w:t>
      </w:r>
    </w:p>
    <w:p w14:paraId="4C96B2E1" w14:textId="160A718B" w:rsidR="00A32B91" w:rsidRPr="0030389C" w:rsidRDefault="00A32B91" w:rsidP="00B5105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Tout(e) participant(e) doit se présenter sur le terrain désigné avec un nombre suffisant de volants ainsi que tous les accessoires utiles à son match. La fourniture des volants se fera au partage entre les deux joueurs ou équipes.</w:t>
      </w:r>
    </w:p>
    <w:p w14:paraId="0DC3AD3E" w14:textId="2CB194E9" w:rsidR="007F6B5C" w:rsidRPr="0030389C" w:rsidRDefault="003A4D85">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Scores et résultats des matchs</w:t>
      </w:r>
      <w:r w:rsidR="007F6B5C" w:rsidRPr="0030389C">
        <w:rPr>
          <w:rFonts w:ascii="Arial" w:eastAsia="Arial" w:hAnsi="Arial" w:cs="Arial"/>
          <w:b/>
          <w:color w:val="4F81BD" w:themeColor="accent1"/>
          <w:sz w:val="16"/>
          <w:szCs w:val="16"/>
        </w:rPr>
        <w:t> :</w:t>
      </w:r>
    </w:p>
    <w:p w14:paraId="102E6641" w14:textId="26D52FB2" w:rsidR="003A4D85" w:rsidRPr="0030389C" w:rsidRDefault="003A4D85" w:rsidP="007F6B5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Pour chaque match joué dans la rencontre (DH, DD, MX1, MX2) les équipes se voient </w:t>
      </w:r>
      <w:proofErr w:type="gramStart"/>
      <w:r w:rsidRPr="0030389C">
        <w:rPr>
          <w:rFonts w:ascii="Arial" w:eastAsia="Arial" w:hAnsi="Arial" w:cs="Arial"/>
          <w:color w:val="4F81BD" w:themeColor="accent1"/>
          <w:sz w:val="16"/>
          <w:szCs w:val="16"/>
        </w:rPr>
        <w:t>créditer de points</w:t>
      </w:r>
      <w:proofErr w:type="gramEnd"/>
      <w:r w:rsidRPr="0030389C">
        <w:rPr>
          <w:rFonts w:ascii="Arial" w:eastAsia="Arial" w:hAnsi="Arial" w:cs="Arial"/>
          <w:color w:val="4F81BD" w:themeColor="accent1"/>
          <w:sz w:val="16"/>
          <w:szCs w:val="16"/>
        </w:rPr>
        <w:t xml:space="preserve"> de match comme suit :</w:t>
      </w:r>
    </w:p>
    <w:p w14:paraId="4C0EABC9" w14:textId="48917B27" w:rsidR="007F6B5C" w:rsidRPr="0030389C" w:rsidRDefault="003A4D85" w:rsidP="003A4D85">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Match remporté : +1 point</w:t>
      </w:r>
    </w:p>
    <w:p w14:paraId="50E0BA2C" w14:textId="003AD392" w:rsidR="003A4D85" w:rsidRPr="0030389C" w:rsidRDefault="003A4D85" w:rsidP="003A4D85">
      <w:pPr>
        <w:numPr>
          <w:ilvl w:val="2"/>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Match perdu ou forfait : 0 point</w:t>
      </w:r>
    </w:p>
    <w:p w14:paraId="68AAFC59" w14:textId="35EA77A4" w:rsidR="005D1317" w:rsidRPr="0030389C" w:rsidRDefault="003A4D85" w:rsidP="005D1317">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Scores et résultats des rencontres :</w:t>
      </w:r>
    </w:p>
    <w:p w14:paraId="4DC10E74" w14:textId="495563DE" w:rsidR="005D1317" w:rsidRPr="0030389C" w:rsidRDefault="005D1317" w:rsidP="003A4D85">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score d’une rencontre est l’addition des points obtenus pour les 4 matchs. L’équipe ayant le plus de points de matchs remporte la rencontre.</w:t>
      </w:r>
    </w:p>
    <w:p w14:paraId="1C671BBB" w14:textId="7D80B588" w:rsidR="003A4D85" w:rsidRPr="0030389C" w:rsidRDefault="003A4D85" w:rsidP="003A4D85">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cas d’égalité aux points de matchs, c’est le solde entre sets gagnés et sets perdus qui sera pris en compte.</w:t>
      </w:r>
    </w:p>
    <w:p w14:paraId="1431FFDA" w14:textId="1E8057D2" w:rsidR="003A4D85" w:rsidRPr="0030389C" w:rsidRDefault="003A4D85" w:rsidP="003A4D85">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En cas de nouvelle égalité, c’est le solde entre les points marqués et les points encaissés lors de chaque set qui sera </w:t>
      </w:r>
      <w:r w:rsidR="005D1317" w:rsidRPr="0030389C">
        <w:rPr>
          <w:rFonts w:ascii="Arial" w:eastAsia="Arial" w:hAnsi="Arial" w:cs="Arial"/>
          <w:color w:val="4F81BD" w:themeColor="accent1"/>
          <w:sz w:val="16"/>
          <w:szCs w:val="16"/>
        </w:rPr>
        <w:t>pris en compte</w:t>
      </w:r>
      <w:r w:rsidRPr="0030389C">
        <w:rPr>
          <w:rFonts w:ascii="Arial" w:eastAsia="Arial" w:hAnsi="Arial" w:cs="Arial"/>
          <w:color w:val="4F81BD" w:themeColor="accent1"/>
          <w:sz w:val="16"/>
          <w:szCs w:val="16"/>
        </w:rPr>
        <w:t>.</w:t>
      </w:r>
    </w:p>
    <w:p w14:paraId="67523FCA" w14:textId="7DBDDEDE" w:rsidR="003A4D85" w:rsidRDefault="003A4D85"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cas de nouvelle égalité</w:t>
      </w:r>
      <w:r w:rsidR="005D1317" w:rsidRPr="0030389C">
        <w:rPr>
          <w:rFonts w:ascii="Arial" w:eastAsia="Arial" w:hAnsi="Arial" w:cs="Arial"/>
          <w:color w:val="4F81BD" w:themeColor="accent1"/>
          <w:sz w:val="16"/>
          <w:szCs w:val="16"/>
        </w:rPr>
        <w:t xml:space="preserve">, </w:t>
      </w:r>
      <w:r w:rsidR="00F10C4D" w:rsidRPr="00F10C4D">
        <w:rPr>
          <w:rFonts w:ascii="Arial" w:eastAsia="Arial" w:hAnsi="Arial" w:cs="Arial"/>
          <w:color w:val="4F81BD" w:themeColor="accent1"/>
          <w:sz w:val="16"/>
          <w:szCs w:val="16"/>
        </w:rPr>
        <w:t>les équipes à égalité sont départagés au bénéfice de l’âge du capitaine (l’avantage étant accordé au plus jeune).</w:t>
      </w:r>
    </w:p>
    <w:p w14:paraId="781BE561" w14:textId="7557B438" w:rsidR="00F10C4D" w:rsidRDefault="00F10C4D"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dernier ressort</w:t>
      </w:r>
      <w:r>
        <w:rPr>
          <w:rFonts w:ascii="Arial" w:eastAsia="Arial" w:hAnsi="Arial" w:cs="Arial"/>
          <w:color w:val="4F81BD" w:themeColor="accent1"/>
          <w:sz w:val="16"/>
          <w:szCs w:val="16"/>
        </w:rPr>
        <w:t>, il sera procédé à un tirage au sort.</w:t>
      </w:r>
    </w:p>
    <w:p w14:paraId="40A9BC7C" w14:textId="48455D33" w:rsidR="00595127" w:rsidRPr="00595127" w:rsidRDefault="00595127" w:rsidP="00595127">
      <w:pPr>
        <w:numPr>
          <w:ilvl w:val="0"/>
          <w:numId w:val="2"/>
        </w:numPr>
        <w:spacing w:after="0" w:line="360" w:lineRule="auto"/>
        <w:ind w:right="-568"/>
        <w:jc w:val="both"/>
        <w:rPr>
          <w:rFonts w:ascii="Arial" w:eastAsia="Arial" w:hAnsi="Arial" w:cs="Arial"/>
          <w:b/>
          <w:color w:val="4F81BD" w:themeColor="accent1"/>
          <w:sz w:val="16"/>
          <w:szCs w:val="16"/>
        </w:rPr>
      </w:pPr>
      <w:r w:rsidRPr="00595127">
        <w:rPr>
          <w:rFonts w:ascii="Arial" w:eastAsia="Arial" w:hAnsi="Arial" w:cs="Arial"/>
          <w:b/>
          <w:color w:val="4F81BD" w:themeColor="accent1"/>
          <w:sz w:val="16"/>
          <w:szCs w:val="16"/>
        </w:rPr>
        <w:t>Barèmes des points de rencontres :</w:t>
      </w:r>
    </w:p>
    <w:tbl>
      <w:tblPr>
        <w:tblStyle w:val="TableGrid"/>
        <w:tblW w:w="0" w:type="auto"/>
        <w:tblInd w:w="1080" w:type="dxa"/>
        <w:tblLook w:val="04A0" w:firstRow="1" w:lastRow="0" w:firstColumn="1" w:lastColumn="0" w:noHBand="0" w:noVBand="1"/>
      </w:tblPr>
      <w:tblGrid>
        <w:gridCol w:w="1075"/>
        <w:gridCol w:w="1080"/>
        <w:gridCol w:w="1170"/>
      </w:tblGrid>
      <w:tr w:rsidR="00595127" w:rsidRPr="0030389C" w14:paraId="645CF715" w14:textId="77777777" w:rsidTr="00595127">
        <w:tc>
          <w:tcPr>
            <w:tcW w:w="1075" w:type="dxa"/>
          </w:tcPr>
          <w:p w14:paraId="2EA71A6E" w14:textId="11BC77C3" w:rsidR="00595127" w:rsidRPr="0030389C" w:rsidRDefault="00595127" w:rsidP="005D1317">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Victoire</w:t>
            </w:r>
          </w:p>
        </w:tc>
        <w:tc>
          <w:tcPr>
            <w:tcW w:w="1080" w:type="dxa"/>
          </w:tcPr>
          <w:p w14:paraId="3119A036" w14:textId="1576094C" w:rsidR="00595127" w:rsidRPr="0030389C" w:rsidRDefault="00595127" w:rsidP="005D1317">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Défaite</w:t>
            </w:r>
          </w:p>
        </w:tc>
        <w:tc>
          <w:tcPr>
            <w:tcW w:w="1170" w:type="dxa"/>
          </w:tcPr>
          <w:p w14:paraId="3F24083E" w14:textId="0F5C3CCC" w:rsidR="00595127" w:rsidRPr="0030389C" w:rsidRDefault="00595127" w:rsidP="005D1317">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Forfait</w:t>
            </w:r>
          </w:p>
        </w:tc>
      </w:tr>
      <w:tr w:rsidR="00595127" w:rsidRPr="0030389C" w14:paraId="4F5879AC" w14:textId="77777777" w:rsidTr="00595127">
        <w:tc>
          <w:tcPr>
            <w:tcW w:w="1075" w:type="dxa"/>
          </w:tcPr>
          <w:p w14:paraId="5D7FC22F" w14:textId="0A92AE29" w:rsidR="00595127" w:rsidRPr="0030389C" w:rsidRDefault="00595127" w:rsidP="005D1317">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+ 3 points</w:t>
            </w:r>
          </w:p>
        </w:tc>
        <w:tc>
          <w:tcPr>
            <w:tcW w:w="1080" w:type="dxa"/>
          </w:tcPr>
          <w:p w14:paraId="61A527D4" w14:textId="3E16F712" w:rsidR="00595127" w:rsidRPr="0030389C" w:rsidRDefault="00595127" w:rsidP="005D1317">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+ 1 point</w:t>
            </w:r>
          </w:p>
        </w:tc>
        <w:tc>
          <w:tcPr>
            <w:tcW w:w="1170" w:type="dxa"/>
          </w:tcPr>
          <w:p w14:paraId="17F5E4D5" w14:textId="0D4DE063" w:rsidR="00595127" w:rsidRPr="0030389C" w:rsidRDefault="00595127" w:rsidP="005D1317">
            <w:pPr>
              <w:pBdr>
                <w:top w:val="none" w:sz="0" w:space="0" w:color="auto"/>
                <w:left w:val="none" w:sz="0" w:space="0" w:color="auto"/>
                <w:bottom w:val="none" w:sz="0" w:space="0" w:color="auto"/>
                <w:right w:val="none" w:sz="0" w:space="0" w:color="auto"/>
                <w:between w:val="none" w:sz="0" w:space="0" w:color="auto"/>
              </w:pBdr>
              <w:spacing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+ 0 point</w:t>
            </w:r>
          </w:p>
        </w:tc>
      </w:tr>
    </w:tbl>
    <w:p w14:paraId="75A3FA07" w14:textId="77777777" w:rsidR="0001621E" w:rsidRPr="0030389C" w:rsidRDefault="0001621E" w:rsidP="005D1317">
      <w:pPr>
        <w:spacing w:after="0" w:line="360" w:lineRule="auto"/>
        <w:ind w:left="1080" w:right="-568"/>
        <w:jc w:val="both"/>
        <w:rPr>
          <w:rFonts w:ascii="Arial" w:eastAsia="Arial" w:hAnsi="Arial" w:cs="Arial"/>
          <w:color w:val="4F81BD" w:themeColor="accent1"/>
          <w:sz w:val="16"/>
          <w:szCs w:val="16"/>
        </w:rPr>
      </w:pPr>
    </w:p>
    <w:p w14:paraId="45073938" w14:textId="5C0162DC" w:rsidR="00B14C8B" w:rsidRPr="0030389C" w:rsidRDefault="00B14C8B">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Classement des poules :</w:t>
      </w:r>
    </w:p>
    <w:p w14:paraId="3FFCDDCC" w14:textId="44D2FF3E" w:rsidR="00B14C8B" w:rsidRPr="0030389C" w:rsidRDefault="00B14C8B" w:rsidP="00B14C8B">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A l’issue des matchs de poules, le classement final dans chaque poule est établi en fonction du nombre de points de rencontres recueillis. En cas d’égalité entre 2 équipes, leur classement est déterminé par le résultat du match direct entre eux.</w:t>
      </w:r>
    </w:p>
    <w:p w14:paraId="04221912" w14:textId="5F987B07" w:rsidR="00B14C8B" w:rsidRPr="0030389C" w:rsidRDefault="00B14C8B" w:rsidP="00B14C8B">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En cas d’égalité entre 3 équipes et plus, on les départage au bénéfice de la meilleure différence entre le nombre de sets gagnés </w:t>
      </w:r>
      <w:r w:rsidRPr="0030389C">
        <w:rPr>
          <w:rFonts w:ascii="Arial" w:eastAsia="Arial" w:hAnsi="Arial" w:cs="Arial"/>
          <w:color w:val="4F81BD" w:themeColor="accent1"/>
          <w:sz w:val="16"/>
          <w:szCs w:val="16"/>
        </w:rPr>
        <w:lastRenderedPageBreak/>
        <w:t>et perdus. S’il en résulte une égalité entre 2 équipes, leur classement est déterminé par le résultat du match direct entre eux.</w:t>
      </w:r>
    </w:p>
    <w:p w14:paraId="48BF8B3E" w14:textId="2EA15260" w:rsidR="00B14C8B" w:rsidRPr="0030389C" w:rsidRDefault="00F10C4D" w:rsidP="00B14C8B">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En cas de nouvelle égalité </w:t>
      </w:r>
      <w:r w:rsidR="00B14C8B" w:rsidRPr="0030389C">
        <w:rPr>
          <w:rFonts w:ascii="Arial" w:eastAsia="Arial" w:hAnsi="Arial" w:cs="Arial"/>
          <w:color w:val="4F81BD" w:themeColor="accent1"/>
          <w:sz w:val="16"/>
          <w:szCs w:val="16"/>
        </w:rPr>
        <w:t>entre 3 équipes et plus, on les départage au bénéfice des points gagnés et perdus.</w:t>
      </w:r>
    </w:p>
    <w:p w14:paraId="3C3A7577" w14:textId="5FD5926E" w:rsidR="00B14C8B" w:rsidRDefault="00F10C4D" w:rsidP="00B14C8B">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cas de nouvelle égalité</w:t>
      </w:r>
      <w:r w:rsidR="00B14C8B" w:rsidRPr="0030389C">
        <w:rPr>
          <w:rFonts w:ascii="Arial" w:eastAsia="Arial" w:hAnsi="Arial" w:cs="Arial"/>
          <w:color w:val="4F81BD" w:themeColor="accent1"/>
          <w:sz w:val="16"/>
          <w:szCs w:val="16"/>
        </w:rPr>
        <w:t>, les équipes à égalité sont départagés au bénéfice de l’âge du capitaine (l’avantage étant accordé au plus jeune).</w:t>
      </w:r>
    </w:p>
    <w:p w14:paraId="3DAB479D" w14:textId="50A24293" w:rsidR="00F10C4D" w:rsidRDefault="00F10C4D" w:rsidP="00B14C8B">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En dernier ressort</w:t>
      </w:r>
      <w:r>
        <w:rPr>
          <w:rFonts w:ascii="Arial" w:eastAsia="Arial" w:hAnsi="Arial" w:cs="Arial"/>
          <w:color w:val="4F81BD" w:themeColor="accent1"/>
          <w:sz w:val="16"/>
          <w:szCs w:val="16"/>
        </w:rPr>
        <w:t>, il sera procédé à un tirage au sort.</w:t>
      </w:r>
    </w:p>
    <w:p w14:paraId="7B3F3717" w14:textId="77777777" w:rsidR="00595127" w:rsidRPr="0030389C" w:rsidRDefault="00595127" w:rsidP="00595127">
      <w:pPr>
        <w:numPr>
          <w:ilvl w:val="0"/>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b/>
          <w:color w:val="4F81BD" w:themeColor="accent1"/>
          <w:sz w:val="16"/>
          <w:szCs w:val="16"/>
        </w:rPr>
        <w:t>Organisation</w:t>
      </w:r>
      <w:r w:rsidRPr="0030389C">
        <w:rPr>
          <w:rFonts w:ascii="Arial" w:eastAsia="Arial" w:hAnsi="Arial" w:cs="Arial"/>
          <w:color w:val="4F81BD" w:themeColor="accent1"/>
          <w:sz w:val="16"/>
          <w:szCs w:val="16"/>
        </w:rPr>
        <w:t> :</w:t>
      </w:r>
    </w:p>
    <w:p w14:paraId="433168C3" w14:textId="77777777" w:rsidR="00595127" w:rsidRPr="0030389C"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 xml:space="preserve">Les logiciels utilisés pour la gestion du tournoi seront </w:t>
      </w:r>
      <w:proofErr w:type="spellStart"/>
      <w:r w:rsidRPr="0030389C">
        <w:rPr>
          <w:rFonts w:ascii="Arial" w:eastAsia="Arial" w:hAnsi="Arial" w:cs="Arial"/>
          <w:color w:val="4F81BD" w:themeColor="accent1"/>
          <w:sz w:val="16"/>
          <w:szCs w:val="16"/>
        </w:rPr>
        <w:t>Badnet</w:t>
      </w:r>
      <w:proofErr w:type="spellEnd"/>
      <w:r w:rsidRPr="0030389C">
        <w:rPr>
          <w:rFonts w:ascii="Arial" w:eastAsia="Arial" w:hAnsi="Arial" w:cs="Arial"/>
          <w:color w:val="4F81BD" w:themeColor="accent1"/>
          <w:sz w:val="16"/>
          <w:szCs w:val="16"/>
        </w:rPr>
        <w:t xml:space="preserve"> et Excel.</w:t>
      </w:r>
    </w:p>
    <w:p w14:paraId="7BE0D458" w14:textId="77777777" w:rsidR="00595127" w:rsidRDefault="00595127" w:rsidP="00595127">
      <w:pPr>
        <w:spacing w:after="0" w:line="360" w:lineRule="auto"/>
        <w:ind w:right="-568"/>
        <w:jc w:val="both"/>
        <w:rPr>
          <w:rFonts w:ascii="Arial" w:eastAsia="Arial" w:hAnsi="Arial" w:cs="Arial"/>
          <w:color w:val="4F81BD" w:themeColor="accent1"/>
          <w:sz w:val="16"/>
          <w:szCs w:val="16"/>
        </w:rPr>
      </w:pPr>
    </w:p>
    <w:p w14:paraId="7CE337C6" w14:textId="77777777" w:rsidR="00595127" w:rsidRPr="0030389C" w:rsidRDefault="00595127" w:rsidP="00595127">
      <w:pPr>
        <w:numPr>
          <w:ilvl w:val="0"/>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b/>
          <w:color w:val="4F81BD" w:themeColor="accent1"/>
          <w:sz w:val="16"/>
          <w:szCs w:val="16"/>
        </w:rPr>
        <w:t>Echéancier</w:t>
      </w:r>
      <w:r w:rsidRPr="0030389C">
        <w:rPr>
          <w:rFonts w:ascii="Arial" w:eastAsia="Arial" w:hAnsi="Arial" w:cs="Arial"/>
          <w:color w:val="4F81BD" w:themeColor="accent1"/>
          <w:sz w:val="16"/>
          <w:szCs w:val="16"/>
        </w:rPr>
        <w:t xml:space="preserve"> : </w:t>
      </w:r>
    </w:p>
    <w:p w14:paraId="33166310" w14:textId="7268F028" w:rsidR="00595127" w:rsidRP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L’ordre des rencontres et des matchs est déterminé par le comité d’organisation. L’échéancier du tournoi, affiché le jour du tournoi, est donné à titre d’information et pourra être modifié pour le bon déroulement du tournoi. Par conséquent, les horaires et l’ordre des matchs sont donnés à titre indicatif.</w:t>
      </w:r>
    </w:p>
    <w:p w14:paraId="087F8C5B" w14:textId="21DD07BB" w:rsidR="00F10C4D" w:rsidRPr="00F10C4D" w:rsidRDefault="00F10C4D" w:rsidP="0030389C">
      <w:pPr>
        <w:numPr>
          <w:ilvl w:val="0"/>
          <w:numId w:val="2"/>
        </w:numPr>
        <w:spacing w:after="0" w:line="360" w:lineRule="auto"/>
        <w:ind w:right="-568"/>
        <w:jc w:val="both"/>
        <w:rPr>
          <w:rFonts w:ascii="Arial" w:eastAsia="Arial" w:hAnsi="Arial" w:cs="Arial"/>
          <w:b/>
          <w:color w:val="4F81BD" w:themeColor="accent1"/>
          <w:sz w:val="16"/>
          <w:szCs w:val="16"/>
        </w:rPr>
      </w:pPr>
      <w:r w:rsidRPr="00F10C4D">
        <w:rPr>
          <w:rFonts w:ascii="Arial" w:eastAsia="Arial" w:hAnsi="Arial" w:cs="Arial"/>
          <w:b/>
          <w:color w:val="4F81BD" w:themeColor="accent1"/>
          <w:sz w:val="16"/>
          <w:szCs w:val="16"/>
        </w:rPr>
        <w:t xml:space="preserve">Déroulement : </w:t>
      </w:r>
    </w:p>
    <w:p w14:paraId="33F170FC" w14:textId="3A5275D7" w:rsidR="0030389C" w:rsidRPr="0030389C" w:rsidRDefault="0030389C"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Tout(e) participant(e) doit se faire pointer à la table de marques du gymnase Daniel Faucher dès son arrivée.</w:t>
      </w:r>
    </w:p>
    <w:p w14:paraId="6FCDB93C" w14:textId="77777777" w:rsidR="0030389C" w:rsidRPr="0030389C" w:rsidRDefault="0030389C"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Tout(e) participant(e) devant s’absenter du gymnase, quelles qu’en soient la raison et la durée, doit prévenir le juge-arbitre, sous peine de disqualification à l’appel de son match.</w:t>
      </w:r>
    </w:p>
    <w:p w14:paraId="4FDDF8D6" w14:textId="77777777" w:rsidR="0030389C" w:rsidRPr="0030389C" w:rsidRDefault="0030389C"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À l’appel de son nom, tout(e) participant(e) qui ne se présente pas sur le terrain désigné au troisième appel pourra être disqualifié(e) par le juge-arbitre, quel que soit le niveau atteint dans la compétition.</w:t>
      </w:r>
    </w:p>
    <w:p w14:paraId="11A01A70" w14:textId="77777777" w:rsidR="0030389C" w:rsidRPr="0030389C" w:rsidRDefault="0030389C"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Tout(e) participant(e) dispose de trois minutes entre le premier appel et le début du match. La durée de repos entre deux matchs sera de vingt minutes minimum.</w:t>
      </w:r>
    </w:p>
    <w:p w14:paraId="7431E0AD" w14:textId="5DE2448E" w:rsidR="00262820" w:rsidRDefault="0030389C" w:rsidP="004A674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Aucun(e) participant(e) ne peut quitter le terrain pendant son match sans l’accord du juge-arbitre.</w:t>
      </w:r>
    </w:p>
    <w:p w14:paraId="4C6CDE91" w14:textId="5FF73851" w:rsidR="00F10C4D" w:rsidRPr="00F10C4D" w:rsidRDefault="00F10C4D" w:rsidP="00F10C4D">
      <w:pPr>
        <w:numPr>
          <w:ilvl w:val="0"/>
          <w:numId w:val="2"/>
        </w:numPr>
        <w:spacing w:after="0" w:line="360" w:lineRule="auto"/>
        <w:ind w:right="-568"/>
        <w:jc w:val="both"/>
        <w:rPr>
          <w:rFonts w:ascii="Arial" w:eastAsia="Arial" w:hAnsi="Arial" w:cs="Arial"/>
          <w:b/>
          <w:color w:val="4F81BD" w:themeColor="accent1"/>
          <w:sz w:val="16"/>
          <w:szCs w:val="16"/>
        </w:rPr>
      </w:pPr>
      <w:r w:rsidRPr="00F10C4D">
        <w:rPr>
          <w:rFonts w:ascii="Arial" w:eastAsia="Arial" w:hAnsi="Arial" w:cs="Arial"/>
          <w:b/>
          <w:color w:val="4F81BD" w:themeColor="accent1"/>
          <w:sz w:val="16"/>
          <w:szCs w:val="16"/>
        </w:rPr>
        <w:t xml:space="preserve">Hauteur : </w:t>
      </w:r>
    </w:p>
    <w:p w14:paraId="2A385395" w14:textId="0B4BA19E" w:rsidR="00F10C4D" w:rsidRPr="00F0433A" w:rsidRDefault="00F10C4D" w:rsidP="00F10C4D">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Tout volant touchant un élément accroché au plafond est faute, sauf au service, où il sera remis au maximum une fois (soit deux services maximum)</w:t>
      </w:r>
      <w:r>
        <w:rPr>
          <w:rFonts w:ascii="Arial" w:eastAsia="Arial" w:hAnsi="Arial" w:cs="Arial"/>
          <w:color w:val="4F81BD" w:themeColor="accent1"/>
          <w:sz w:val="16"/>
          <w:szCs w:val="16"/>
        </w:rPr>
        <w:t>.</w:t>
      </w:r>
    </w:p>
    <w:p w14:paraId="46D12088" w14:textId="575F27E2" w:rsidR="00E31B2C" w:rsidRPr="0030389C" w:rsidRDefault="00E31B2C">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Tenue :</w:t>
      </w:r>
    </w:p>
    <w:p w14:paraId="353ADFDB" w14:textId="2A658AD4" w:rsidR="00067C94" w:rsidRPr="0030389C" w:rsidRDefault="00981AD2" w:rsidP="0030389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Une tenue de badminton conforme aux règlements et circulaires en vigueur de la Fédération française de badminton est exigée sur tous les terrains.</w:t>
      </w:r>
    </w:p>
    <w:p w14:paraId="5B99BBFF" w14:textId="03908AEF" w:rsidR="0030389C" w:rsidRDefault="0030389C">
      <w:pPr>
        <w:numPr>
          <w:ilvl w:val="0"/>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b/>
          <w:color w:val="4F81BD" w:themeColor="accent1"/>
          <w:sz w:val="16"/>
          <w:szCs w:val="16"/>
        </w:rPr>
        <w:t>Dopage</w:t>
      </w:r>
      <w:r>
        <w:rPr>
          <w:rFonts w:ascii="Arial" w:eastAsia="Arial" w:hAnsi="Arial" w:cs="Arial"/>
          <w:color w:val="4F81BD" w:themeColor="accent1"/>
          <w:sz w:val="16"/>
          <w:szCs w:val="16"/>
        </w:rPr>
        <w:t> :</w:t>
      </w:r>
    </w:p>
    <w:p w14:paraId="24D79A01" w14:textId="5DE2A9D2" w:rsidR="00262820" w:rsidRPr="0030389C" w:rsidRDefault="00981AD2" w:rsidP="0030389C">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L’utilisation de substance et/ou de tout moyen destiné à augmenter artificiellement le rendement en vue ou à l’occasion de la compétition et qui peut porter préjudice à l’éthique ainsi qu’à l’intégrité physique et psychique de l’athlète est prohibée. La liste officielle des produits dopants est publiée par le ministère chargé des sports.</w:t>
      </w:r>
    </w:p>
    <w:p w14:paraId="2F1C82DF" w14:textId="77777777" w:rsidR="00595127" w:rsidRPr="0030389C" w:rsidRDefault="00595127" w:rsidP="00595127">
      <w:pPr>
        <w:numPr>
          <w:ilvl w:val="0"/>
          <w:numId w:val="2"/>
        </w:numPr>
        <w:spacing w:after="0" w:line="360" w:lineRule="auto"/>
        <w:ind w:right="-568"/>
        <w:jc w:val="both"/>
        <w:rPr>
          <w:rFonts w:ascii="Arial" w:eastAsia="Arial" w:hAnsi="Arial" w:cs="Arial"/>
          <w:b/>
          <w:color w:val="4F81BD" w:themeColor="accent1"/>
          <w:sz w:val="16"/>
          <w:szCs w:val="16"/>
        </w:rPr>
      </w:pPr>
      <w:r w:rsidRPr="0030389C">
        <w:rPr>
          <w:rFonts w:ascii="Arial" w:eastAsia="Arial" w:hAnsi="Arial" w:cs="Arial"/>
          <w:b/>
          <w:color w:val="4F81BD" w:themeColor="accent1"/>
          <w:sz w:val="16"/>
          <w:szCs w:val="16"/>
        </w:rPr>
        <w:t xml:space="preserve">Arbitrage : </w:t>
      </w:r>
    </w:p>
    <w:p w14:paraId="001E8D39" w14:textId="17990E91" w:rsidR="00595127" w:rsidRPr="00595127" w:rsidRDefault="00595127" w:rsidP="00595127">
      <w:pPr>
        <w:numPr>
          <w:ilvl w:val="1"/>
          <w:numId w:val="2"/>
        </w:numPr>
        <w:spacing w:after="0" w:line="360" w:lineRule="auto"/>
        <w:ind w:right="-568"/>
        <w:jc w:val="both"/>
        <w:rPr>
          <w:rFonts w:ascii="Arial" w:eastAsia="Arial" w:hAnsi="Arial" w:cs="Arial"/>
          <w:color w:val="4F81BD" w:themeColor="accent1"/>
          <w:sz w:val="16"/>
          <w:szCs w:val="16"/>
        </w:rPr>
      </w:pPr>
      <w:r w:rsidRPr="0030389C">
        <w:rPr>
          <w:rFonts w:ascii="Arial" w:eastAsia="Arial" w:hAnsi="Arial" w:cs="Arial"/>
          <w:color w:val="4F81BD" w:themeColor="accent1"/>
          <w:sz w:val="16"/>
          <w:szCs w:val="16"/>
        </w:rPr>
        <w:t>Le tournoi se déroulera en auto-arbitrage. La présence d’un arbitre peut être demandée à tout moment lors d’un match.</w:t>
      </w:r>
    </w:p>
    <w:p w14:paraId="4EBD333C" w14:textId="77777777" w:rsidR="00262820" w:rsidRPr="0030389C" w:rsidRDefault="00262820">
      <w:pPr>
        <w:spacing w:after="0" w:line="360" w:lineRule="auto"/>
        <w:ind w:left="720" w:right="-568"/>
        <w:jc w:val="both"/>
        <w:rPr>
          <w:rFonts w:ascii="Arial" w:eastAsia="Arial" w:hAnsi="Arial" w:cs="Arial"/>
          <w:color w:val="4F81BD" w:themeColor="accent1"/>
          <w:sz w:val="16"/>
          <w:szCs w:val="16"/>
        </w:rPr>
      </w:pPr>
    </w:p>
    <w:p w14:paraId="4B6359EA" w14:textId="77777777" w:rsidR="00262820" w:rsidRPr="0030389C" w:rsidRDefault="00981AD2">
      <w:pPr>
        <w:spacing w:after="0" w:line="360" w:lineRule="auto"/>
        <w:ind w:right="-568"/>
        <w:jc w:val="center"/>
        <w:rPr>
          <w:rFonts w:ascii="Arial" w:eastAsia="Arial" w:hAnsi="Arial" w:cs="Arial"/>
          <w:color w:val="4F81BD" w:themeColor="accent1"/>
          <w:sz w:val="16"/>
          <w:szCs w:val="16"/>
        </w:rPr>
      </w:pPr>
      <w:r w:rsidRPr="0030389C">
        <w:rPr>
          <w:rFonts w:ascii="Arial" w:eastAsia="Arial" w:hAnsi="Arial" w:cs="Arial"/>
          <w:b/>
          <w:color w:val="4F81BD" w:themeColor="accent1"/>
          <w:sz w:val="16"/>
          <w:szCs w:val="16"/>
        </w:rPr>
        <w:t xml:space="preserve">Le comité d’organisation remercie par avance </w:t>
      </w:r>
      <w:proofErr w:type="spellStart"/>
      <w:r w:rsidRPr="0030389C">
        <w:rPr>
          <w:rFonts w:ascii="Arial" w:eastAsia="Arial" w:hAnsi="Arial" w:cs="Arial"/>
          <w:b/>
          <w:color w:val="4F81BD" w:themeColor="accent1"/>
          <w:sz w:val="16"/>
          <w:szCs w:val="16"/>
        </w:rPr>
        <w:t>tou</w:t>
      </w:r>
      <w:proofErr w:type="spellEnd"/>
      <w:r w:rsidRPr="0030389C">
        <w:rPr>
          <w:rFonts w:ascii="Arial" w:eastAsia="Arial" w:hAnsi="Arial" w:cs="Arial"/>
          <w:b/>
          <w:color w:val="4F81BD" w:themeColor="accent1"/>
          <w:sz w:val="16"/>
          <w:szCs w:val="16"/>
        </w:rPr>
        <w:t>(te)s les participant(e)s qui, en observant scrupuleusement ce règlement, apporteront leur contribution à la réussite de ce tournoi.</w:t>
      </w:r>
    </w:p>
    <w:sectPr w:rsidR="00262820" w:rsidRPr="0030389C">
      <w:pgSz w:w="11906" w:h="16838"/>
      <w:pgMar w:top="426" w:right="1417" w:bottom="851"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55A2"/>
    <w:multiLevelType w:val="multilevel"/>
    <w:tmpl w:val="FDBEE6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A275CB9"/>
    <w:multiLevelType w:val="multilevel"/>
    <w:tmpl w:val="C30E6538"/>
    <w:lvl w:ilvl="0">
      <w:start w:val="1"/>
      <w:numFmt w:val="decimal"/>
      <w:lvlText w:val="%1."/>
      <w:lvlJc w:val="left"/>
      <w:pPr>
        <w:ind w:left="720" w:hanging="360"/>
      </w:pPr>
      <w:rPr>
        <w:rFonts w:hint="default"/>
        <w:b/>
        <w:color w:val="1F497D"/>
        <w:vertAlign w:val="baseline"/>
      </w:rPr>
    </w:lvl>
    <w:lvl w:ilvl="1">
      <w:start w:val="13"/>
      <w:numFmt w:val="bullet"/>
      <w:lvlText w:val="•"/>
      <w:lvlJc w:val="left"/>
      <w:pPr>
        <w:ind w:left="1440" w:hanging="360"/>
      </w:pPr>
      <w:rPr>
        <w:rFonts w:ascii="Arial" w:hAnsi="Arial" w:hint="default"/>
        <w:vertAlign w:val="baseline"/>
      </w:rPr>
    </w:lvl>
    <w:lvl w:ilvl="2">
      <w:start w:val="1"/>
      <w:numFmt w:val="bullet"/>
      <w:lvlText w:val="-"/>
      <w:lvlJc w:val="left"/>
      <w:pPr>
        <w:ind w:left="2160" w:hanging="180"/>
      </w:pPr>
      <w:rPr>
        <w:rFonts w:ascii="Garamond" w:hAnsi="Garamond"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20"/>
    <w:rsid w:val="0001621E"/>
    <w:rsid w:val="00023DAA"/>
    <w:rsid w:val="00067C94"/>
    <w:rsid w:val="00262820"/>
    <w:rsid w:val="0030389C"/>
    <w:rsid w:val="00313B30"/>
    <w:rsid w:val="00341B92"/>
    <w:rsid w:val="00367D5F"/>
    <w:rsid w:val="003A4D85"/>
    <w:rsid w:val="004A674C"/>
    <w:rsid w:val="004C70E7"/>
    <w:rsid w:val="005232E5"/>
    <w:rsid w:val="00595127"/>
    <w:rsid w:val="005D1317"/>
    <w:rsid w:val="007A2E82"/>
    <w:rsid w:val="007B46AE"/>
    <w:rsid w:val="007C0B01"/>
    <w:rsid w:val="007F6B5C"/>
    <w:rsid w:val="00981AD2"/>
    <w:rsid w:val="009960A0"/>
    <w:rsid w:val="009A596C"/>
    <w:rsid w:val="00A32B91"/>
    <w:rsid w:val="00B14C8B"/>
    <w:rsid w:val="00B25B50"/>
    <w:rsid w:val="00B5105C"/>
    <w:rsid w:val="00B7134C"/>
    <w:rsid w:val="00B86AA8"/>
    <w:rsid w:val="00C52307"/>
    <w:rsid w:val="00C612DC"/>
    <w:rsid w:val="00CC2B59"/>
    <w:rsid w:val="00DB4868"/>
    <w:rsid w:val="00E31B2C"/>
    <w:rsid w:val="00E34DFC"/>
    <w:rsid w:val="00EB7D6E"/>
    <w:rsid w:val="00EE2D7D"/>
    <w:rsid w:val="00F0433A"/>
    <w:rsid w:val="00F10C4D"/>
    <w:rsid w:val="00F2503F"/>
    <w:rsid w:val="00F9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A"/>
  <w15:docId w15:val="{EB079B42-388A-4775-AB9C-78100FEC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2D7D"/>
    <w:pPr>
      <w:ind w:left="720"/>
      <w:contextualSpacing/>
    </w:pPr>
  </w:style>
  <w:style w:type="table" w:styleId="TableGrid">
    <w:name w:val="Table Grid"/>
    <w:basedOn w:val="TableNormal"/>
    <w:uiPriority w:val="59"/>
    <w:rsid w:val="007F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0C93-9C32-40D9-95B7-96092903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3</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KERVERN, VINCENT</dc:creator>
  <cp:lastModifiedBy>Etienne Joly</cp:lastModifiedBy>
  <cp:revision>10</cp:revision>
  <dcterms:created xsi:type="dcterms:W3CDTF">2018-02-05T15:16:00Z</dcterms:created>
  <dcterms:modified xsi:type="dcterms:W3CDTF">2018-02-13T16:11:00Z</dcterms:modified>
</cp:coreProperties>
</file>